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F8" w:rsidRDefault="00A910F8">
      <w:pPr>
        <w:widowControl/>
        <w:jc w:val="left"/>
        <w:rPr>
          <w:rFonts w:ascii="楷体" w:eastAsia="楷体" w:hAnsi="楷体" w:cs="楷体" w:hint="eastAsia"/>
          <w:color w:val="000000"/>
          <w:kern w:val="0"/>
          <w:sz w:val="21"/>
          <w:szCs w:val="21"/>
        </w:rPr>
      </w:pPr>
    </w:p>
    <w:p w:rsidR="00A910F8" w:rsidRDefault="00E07596">
      <w:pPr>
        <w:spacing w:beforeLines="50" w:before="156" w:afterLines="50" w:after="156" w:line="360" w:lineRule="auto"/>
        <w:jc w:val="center"/>
        <w:rPr>
          <w:rFonts w:ascii="楷体" w:eastAsia="楷体" w:hAnsi="楷体" w:cs="楷体"/>
          <w:color w:val="000000"/>
          <w:sz w:val="52"/>
          <w:szCs w:val="52"/>
        </w:rPr>
      </w:pPr>
      <w:r>
        <w:rPr>
          <w:rFonts w:ascii="楷体" w:eastAsia="楷体" w:hAnsi="楷体" w:cs="楷体" w:hint="eastAsia"/>
          <w:color w:val="000000"/>
          <w:sz w:val="52"/>
          <w:szCs w:val="52"/>
        </w:rPr>
        <w:t>上海立信会计金融学院</w:t>
      </w:r>
    </w:p>
    <w:p w:rsidR="00A910F8" w:rsidRDefault="00E07596">
      <w:pPr>
        <w:spacing w:beforeLines="50" w:before="156" w:afterLines="50" w:after="156" w:line="360" w:lineRule="auto"/>
        <w:jc w:val="center"/>
        <w:rPr>
          <w:rFonts w:ascii="楷体" w:eastAsia="楷体" w:hAnsi="楷体" w:cs="楷体"/>
          <w:color w:val="000000"/>
          <w:sz w:val="36"/>
          <w:szCs w:val="36"/>
        </w:rPr>
      </w:pPr>
      <w:r>
        <w:rPr>
          <w:rFonts w:ascii="楷体" w:eastAsia="楷体" w:hAnsi="楷体" w:cs="楷体" w:hint="eastAsia"/>
          <w:color w:val="000000"/>
          <w:sz w:val="36"/>
          <w:szCs w:val="36"/>
        </w:rPr>
        <w:t>本科专业教学质量年度报告</w:t>
      </w:r>
    </w:p>
    <w:p w:rsidR="00A910F8" w:rsidRDefault="00E07596">
      <w:pPr>
        <w:spacing w:beforeLines="50" w:before="156" w:afterLines="50" w:after="156" w:line="360" w:lineRule="auto"/>
        <w:jc w:val="center"/>
        <w:rPr>
          <w:rFonts w:ascii="楷体" w:eastAsia="楷体" w:hAnsi="楷体" w:cs="楷体"/>
          <w:color w:val="000000"/>
          <w:sz w:val="36"/>
          <w:szCs w:val="36"/>
        </w:rPr>
      </w:pPr>
      <w:r>
        <w:rPr>
          <w:rFonts w:ascii="楷体" w:eastAsia="楷体" w:hAnsi="楷体" w:cs="楷体" w:hint="eastAsia"/>
          <w:color w:val="000000"/>
          <w:sz w:val="36"/>
          <w:szCs w:val="36"/>
        </w:rPr>
        <w:t>（2020—2021学年）</w:t>
      </w:r>
    </w:p>
    <w:p w:rsidR="00A910F8" w:rsidRDefault="00E07596">
      <w:pPr>
        <w:jc w:val="center"/>
        <w:rPr>
          <w:rFonts w:ascii="楷体" w:eastAsia="楷体" w:hAnsi="楷体" w:cs="楷体"/>
          <w:color w:val="000000"/>
          <w:sz w:val="28"/>
          <w:szCs w:val="28"/>
        </w:rPr>
      </w:pPr>
      <w:r>
        <w:rPr>
          <w:rFonts w:ascii="楷体" w:eastAsia="楷体" w:hAnsi="楷体" w:cs="楷体" w:hint="eastAsia"/>
          <w:noProof/>
          <w:color w:val="000000"/>
          <w:sz w:val="28"/>
          <w:szCs w:val="28"/>
        </w:rPr>
        <w:drawing>
          <wp:inline distT="0" distB="0" distL="0" distR="0">
            <wp:extent cx="2298700" cy="2711450"/>
            <wp:effectExtent l="0" t="0" r="6350" b="0"/>
            <wp:docPr id="1" name="图片 1" descr="校徽-0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01_看图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98700" cy="2711450"/>
                    </a:xfrm>
                    <a:prstGeom prst="rect">
                      <a:avLst/>
                    </a:prstGeom>
                    <a:noFill/>
                    <a:ln>
                      <a:noFill/>
                    </a:ln>
                  </pic:spPr>
                </pic:pic>
              </a:graphicData>
            </a:graphic>
          </wp:inline>
        </w:drawing>
      </w:r>
    </w:p>
    <w:tbl>
      <w:tblPr>
        <w:tblW w:w="6700" w:type="dxa"/>
        <w:jc w:val="center"/>
        <w:tblLook w:val="04A0" w:firstRow="1" w:lastRow="0" w:firstColumn="1" w:lastColumn="0" w:noHBand="0" w:noVBand="1"/>
      </w:tblPr>
      <w:tblGrid>
        <w:gridCol w:w="6700"/>
      </w:tblGrid>
      <w:tr w:rsidR="00A910F8">
        <w:trPr>
          <w:trHeight w:val="567"/>
          <w:jc w:val="center"/>
        </w:trPr>
        <w:tc>
          <w:tcPr>
            <w:tcW w:w="6700" w:type="dxa"/>
            <w:noWrap/>
            <w:vAlign w:val="center"/>
          </w:tcPr>
          <w:p w:rsidR="00A910F8" w:rsidRDefault="00E07596">
            <w:pPr>
              <w:widowControl/>
              <w:ind w:firstLineChars="300" w:firstLine="720"/>
              <w:rPr>
                <w:rFonts w:ascii="楷体" w:eastAsia="楷体" w:hAnsi="楷体" w:cs="楷体"/>
                <w:color w:val="000000"/>
                <w:kern w:val="0"/>
                <w:sz w:val="24"/>
                <w:szCs w:val="24"/>
                <w:u w:val="single"/>
              </w:rPr>
            </w:pPr>
            <w:r>
              <w:rPr>
                <w:rFonts w:ascii="楷体" w:eastAsia="楷体" w:hAnsi="楷体" w:cs="楷体" w:hint="eastAsia"/>
                <w:color w:val="000000"/>
                <w:kern w:val="0"/>
                <w:sz w:val="24"/>
                <w:szCs w:val="24"/>
              </w:rPr>
              <w:t>专业名称：</w:t>
            </w:r>
            <w:r>
              <w:rPr>
                <w:rFonts w:ascii="楷体" w:eastAsia="楷体" w:hAnsi="楷体" w:cs="楷体" w:hint="eastAsia"/>
                <w:color w:val="000000"/>
                <w:kern w:val="0"/>
                <w:sz w:val="24"/>
                <w:szCs w:val="24"/>
                <w:u w:val="single"/>
              </w:rPr>
              <w:t xml:space="preserve">        国际经济与贸易              </w:t>
            </w:r>
          </w:p>
        </w:tc>
      </w:tr>
      <w:tr w:rsidR="00A910F8">
        <w:trPr>
          <w:trHeight w:val="567"/>
          <w:jc w:val="center"/>
        </w:trPr>
        <w:tc>
          <w:tcPr>
            <w:tcW w:w="6700" w:type="dxa"/>
            <w:noWrap/>
            <w:vAlign w:val="center"/>
          </w:tcPr>
          <w:p w:rsidR="00A910F8" w:rsidRDefault="00E07596">
            <w:pPr>
              <w:widowControl/>
              <w:ind w:firstLineChars="300" w:firstLine="720"/>
              <w:rPr>
                <w:rFonts w:ascii="楷体" w:eastAsia="楷体" w:hAnsi="楷体" w:cs="楷体"/>
                <w:color w:val="000000"/>
                <w:kern w:val="0"/>
                <w:sz w:val="24"/>
                <w:szCs w:val="24"/>
              </w:rPr>
            </w:pPr>
            <w:r>
              <w:rPr>
                <w:rFonts w:ascii="楷体" w:eastAsia="楷体" w:hAnsi="楷体" w:cs="楷体" w:hint="eastAsia"/>
                <w:color w:val="000000"/>
                <w:kern w:val="0"/>
                <w:sz w:val="24"/>
                <w:szCs w:val="24"/>
              </w:rPr>
              <w:t>专业代码：</w:t>
            </w:r>
            <w:r>
              <w:rPr>
                <w:rFonts w:ascii="楷体" w:eastAsia="楷体" w:hAnsi="楷体" w:cs="楷体" w:hint="eastAsia"/>
                <w:i/>
                <w:color w:val="000000"/>
                <w:kern w:val="0"/>
                <w:sz w:val="24"/>
                <w:szCs w:val="24"/>
                <w:u w:val="single"/>
              </w:rPr>
              <w:t xml:space="preserve">            020401    </w:t>
            </w:r>
            <w:r w:rsidR="00087601">
              <w:rPr>
                <w:rFonts w:ascii="楷体" w:eastAsia="楷体" w:hAnsi="楷体" w:cs="楷体" w:hint="eastAsia"/>
                <w:i/>
                <w:color w:val="000000"/>
                <w:kern w:val="0"/>
                <w:sz w:val="24"/>
                <w:szCs w:val="24"/>
                <w:u w:val="single"/>
              </w:rPr>
              <w:t xml:space="preserve">       </w:t>
            </w:r>
            <w:r>
              <w:rPr>
                <w:rFonts w:ascii="楷体" w:eastAsia="楷体" w:hAnsi="楷体" w:cs="楷体" w:hint="eastAsia"/>
                <w:i/>
                <w:color w:val="000000"/>
                <w:kern w:val="0"/>
                <w:sz w:val="24"/>
                <w:szCs w:val="24"/>
                <w:u w:val="single"/>
              </w:rPr>
              <w:t xml:space="preserve">       </w:t>
            </w:r>
          </w:p>
        </w:tc>
      </w:tr>
      <w:tr w:rsidR="00A910F8">
        <w:trPr>
          <w:trHeight w:val="567"/>
          <w:jc w:val="center"/>
        </w:trPr>
        <w:tc>
          <w:tcPr>
            <w:tcW w:w="6700" w:type="dxa"/>
            <w:noWrap/>
            <w:vAlign w:val="center"/>
          </w:tcPr>
          <w:p w:rsidR="00A910F8" w:rsidRDefault="00E07596">
            <w:pPr>
              <w:widowControl/>
              <w:ind w:firstLineChars="300" w:firstLine="720"/>
              <w:rPr>
                <w:rFonts w:ascii="楷体" w:eastAsia="楷体" w:hAnsi="楷体" w:cs="楷体"/>
                <w:color w:val="000000"/>
                <w:kern w:val="0"/>
                <w:sz w:val="24"/>
                <w:szCs w:val="24"/>
                <w:u w:val="single"/>
              </w:rPr>
            </w:pPr>
            <w:r>
              <w:rPr>
                <w:rFonts w:ascii="楷体" w:eastAsia="楷体" w:hAnsi="楷体" w:cs="楷体" w:hint="eastAsia"/>
                <w:color w:val="000000"/>
                <w:kern w:val="0"/>
                <w:sz w:val="24"/>
                <w:szCs w:val="24"/>
              </w:rPr>
              <w:t>专业负责人：</w:t>
            </w:r>
            <w:r>
              <w:rPr>
                <w:rFonts w:ascii="楷体" w:eastAsia="楷体" w:hAnsi="楷体" w:cs="楷体" w:hint="eastAsia"/>
                <w:color w:val="000000"/>
                <w:kern w:val="0"/>
                <w:sz w:val="24"/>
                <w:szCs w:val="24"/>
                <w:u w:val="single"/>
              </w:rPr>
              <w:t xml:space="preserve">          陈霜华    </w:t>
            </w:r>
            <w:r w:rsidR="00087601">
              <w:rPr>
                <w:rFonts w:ascii="楷体" w:eastAsia="楷体" w:hAnsi="楷体" w:cs="楷体" w:hint="eastAsia"/>
                <w:color w:val="000000"/>
                <w:kern w:val="0"/>
                <w:sz w:val="24"/>
                <w:szCs w:val="24"/>
                <w:u w:val="single"/>
              </w:rPr>
              <w:t xml:space="preserve">        </w:t>
            </w:r>
            <w:r>
              <w:rPr>
                <w:rFonts w:ascii="楷体" w:eastAsia="楷体" w:hAnsi="楷体" w:cs="楷体" w:hint="eastAsia"/>
                <w:color w:val="000000"/>
                <w:kern w:val="0"/>
                <w:sz w:val="24"/>
                <w:szCs w:val="24"/>
                <w:u w:val="single"/>
              </w:rPr>
              <w:t xml:space="preserve">      </w:t>
            </w:r>
          </w:p>
        </w:tc>
      </w:tr>
      <w:tr w:rsidR="00A910F8">
        <w:trPr>
          <w:trHeight w:val="567"/>
          <w:jc w:val="center"/>
        </w:trPr>
        <w:tc>
          <w:tcPr>
            <w:tcW w:w="6700" w:type="dxa"/>
            <w:noWrap/>
            <w:vAlign w:val="center"/>
          </w:tcPr>
          <w:p w:rsidR="00A910F8" w:rsidRDefault="00E07596">
            <w:pPr>
              <w:widowControl/>
              <w:ind w:firstLineChars="300" w:firstLine="720"/>
              <w:rPr>
                <w:rFonts w:ascii="楷体" w:eastAsia="楷体" w:hAnsi="楷体" w:cs="楷体"/>
                <w:color w:val="000000"/>
                <w:kern w:val="0"/>
                <w:sz w:val="24"/>
                <w:szCs w:val="24"/>
                <w:u w:val="single"/>
              </w:rPr>
            </w:pPr>
            <w:r>
              <w:rPr>
                <w:rFonts w:ascii="楷体" w:eastAsia="楷体" w:hAnsi="楷体" w:cs="楷体" w:hint="eastAsia"/>
                <w:color w:val="000000"/>
                <w:kern w:val="0"/>
                <w:sz w:val="24"/>
                <w:szCs w:val="24"/>
              </w:rPr>
              <w:t xml:space="preserve">教学院长： </w:t>
            </w:r>
            <w:r>
              <w:rPr>
                <w:rFonts w:ascii="楷体" w:eastAsia="楷体" w:hAnsi="楷体" w:cs="楷体" w:hint="eastAsia"/>
                <w:color w:val="000000"/>
                <w:kern w:val="0"/>
                <w:sz w:val="24"/>
                <w:szCs w:val="24"/>
                <w:u w:val="single"/>
              </w:rPr>
              <w:t xml:space="preserve">           余运江     </w:t>
            </w:r>
            <w:r w:rsidR="00087601">
              <w:rPr>
                <w:rFonts w:ascii="楷体" w:eastAsia="楷体" w:hAnsi="楷体" w:cs="楷体" w:hint="eastAsia"/>
                <w:color w:val="000000"/>
                <w:kern w:val="0"/>
                <w:sz w:val="24"/>
                <w:szCs w:val="24"/>
                <w:u w:val="single"/>
              </w:rPr>
              <w:t xml:space="preserve">        </w:t>
            </w:r>
            <w:r>
              <w:rPr>
                <w:rFonts w:ascii="楷体" w:eastAsia="楷体" w:hAnsi="楷体" w:cs="楷体" w:hint="eastAsia"/>
                <w:color w:val="000000"/>
                <w:kern w:val="0"/>
                <w:sz w:val="24"/>
                <w:szCs w:val="24"/>
                <w:u w:val="single"/>
              </w:rPr>
              <w:t xml:space="preserve">     </w:t>
            </w:r>
          </w:p>
        </w:tc>
      </w:tr>
      <w:tr w:rsidR="00A910F8">
        <w:trPr>
          <w:trHeight w:val="567"/>
          <w:jc w:val="center"/>
        </w:trPr>
        <w:tc>
          <w:tcPr>
            <w:tcW w:w="6700" w:type="dxa"/>
            <w:noWrap/>
            <w:vAlign w:val="center"/>
          </w:tcPr>
          <w:p w:rsidR="00A910F8" w:rsidRDefault="00E07596">
            <w:pPr>
              <w:widowControl/>
              <w:ind w:firstLineChars="300" w:firstLine="720"/>
              <w:rPr>
                <w:rFonts w:ascii="楷体" w:eastAsia="楷体" w:hAnsi="楷体" w:cs="楷体"/>
                <w:color w:val="000000"/>
                <w:kern w:val="0"/>
                <w:sz w:val="24"/>
                <w:szCs w:val="24"/>
                <w:u w:val="single"/>
              </w:rPr>
            </w:pPr>
            <w:r>
              <w:rPr>
                <w:rFonts w:ascii="楷体" w:eastAsia="楷体" w:hAnsi="楷体" w:cs="楷体" w:hint="eastAsia"/>
                <w:color w:val="000000"/>
                <w:kern w:val="0"/>
                <w:sz w:val="24"/>
                <w:szCs w:val="24"/>
              </w:rPr>
              <w:t>学院院长：</w:t>
            </w:r>
            <w:r>
              <w:rPr>
                <w:rFonts w:ascii="楷体" w:eastAsia="楷体" w:hAnsi="楷体" w:cs="楷体" w:hint="eastAsia"/>
                <w:color w:val="000000"/>
                <w:kern w:val="0"/>
                <w:sz w:val="24"/>
                <w:szCs w:val="24"/>
                <w:u w:val="single"/>
              </w:rPr>
              <w:t xml:space="preserve">            程振强      </w:t>
            </w:r>
            <w:r w:rsidR="00087601">
              <w:rPr>
                <w:rFonts w:ascii="楷体" w:eastAsia="楷体" w:hAnsi="楷体" w:cs="楷体" w:hint="eastAsia"/>
                <w:color w:val="000000"/>
                <w:kern w:val="0"/>
                <w:sz w:val="24"/>
                <w:szCs w:val="24"/>
                <w:u w:val="single"/>
              </w:rPr>
              <w:t xml:space="preserve">      </w:t>
            </w:r>
            <w:r>
              <w:rPr>
                <w:rFonts w:ascii="楷体" w:eastAsia="楷体" w:hAnsi="楷体" w:cs="楷体" w:hint="eastAsia"/>
                <w:color w:val="000000"/>
                <w:kern w:val="0"/>
                <w:sz w:val="24"/>
                <w:szCs w:val="24"/>
                <w:u w:val="single"/>
              </w:rPr>
              <w:t xml:space="preserve">      </w:t>
            </w:r>
          </w:p>
        </w:tc>
      </w:tr>
      <w:tr w:rsidR="00A910F8">
        <w:trPr>
          <w:trHeight w:val="567"/>
          <w:jc w:val="center"/>
        </w:trPr>
        <w:tc>
          <w:tcPr>
            <w:tcW w:w="6700" w:type="dxa"/>
            <w:noWrap/>
            <w:vAlign w:val="center"/>
          </w:tcPr>
          <w:p w:rsidR="00A910F8" w:rsidRDefault="00E07596">
            <w:pPr>
              <w:widowControl/>
              <w:ind w:firstLineChars="300" w:firstLine="720"/>
              <w:rPr>
                <w:rFonts w:ascii="楷体" w:eastAsia="楷体" w:hAnsi="楷体" w:cs="楷体"/>
                <w:color w:val="000000"/>
                <w:kern w:val="0"/>
                <w:sz w:val="24"/>
                <w:szCs w:val="24"/>
                <w:u w:val="single"/>
              </w:rPr>
            </w:pPr>
            <w:r>
              <w:rPr>
                <w:rFonts w:ascii="楷体" w:eastAsia="楷体" w:hAnsi="楷体" w:cs="楷体" w:hint="eastAsia"/>
                <w:color w:val="000000"/>
                <w:kern w:val="0"/>
                <w:sz w:val="24"/>
                <w:szCs w:val="24"/>
              </w:rPr>
              <w:t>学院名称：</w:t>
            </w:r>
            <w:r>
              <w:rPr>
                <w:rFonts w:ascii="楷体" w:eastAsia="楷体" w:hAnsi="楷体" w:cs="楷体" w:hint="eastAsia"/>
                <w:color w:val="000000"/>
                <w:kern w:val="0"/>
                <w:sz w:val="24"/>
                <w:szCs w:val="24"/>
                <w:u w:val="single"/>
              </w:rPr>
              <w:t xml:space="preserve">          国际经贸学院    </w:t>
            </w:r>
            <w:r w:rsidR="00087601">
              <w:rPr>
                <w:rFonts w:ascii="楷体" w:eastAsia="楷体" w:hAnsi="楷体" w:cs="楷体" w:hint="eastAsia"/>
                <w:color w:val="000000"/>
                <w:kern w:val="0"/>
                <w:sz w:val="24"/>
                <w:szCs w:val="24"/>
                <w:u w:val="single"/>
              </w:rPr>
              <w:t xml:space="preserve">        </w:t>
            </w:r>
            <w:bookmarkStart w:id="0" w:name="_GoBack"/>
            <w:bookmarkEnd w:id="0"/>
            <w:r>
              <w:rPr>
                <w:rFonts w:ascii="楷体" w:eastAsia="楷体" w:hAnsi="楷体" w:cs="楷体" w:hint="eastAsia"/>
                <w:color w:val="000000"/>
                <w:kern w:val="0"/>
                <w:sz w:val="24"/>
                <w:szCs w:val="24"/>
                <w:u w:val="single"/>
              </w:rPr>
              <w:t xml:space="preserve">  </w:t>
            </w:r>
          </w:p>
        </w:tc>
      </w:tr>
    </w:tbl>
    <w:p w:rsidR="00A910F8" w:rsidRDefault="00A910F8">
      <w:pPr>
        <w:spacing w:line="360" w:lineRule="auto"/>
        <w:jc w:val="center"/>
        <w:rPr>
          <w:rFonts w:ascii="楷体" w:eastAsia="楷体" w:hAnsi="楷体" w:cs="楷体"/>
          <w:b/>
          <w:color w:val="000000"/>
          <w:sz w:val="28"/>
          <w:szCs w:val="28"/>
        </w:rPr>
      </w:pPr>
    </w:p>
    <w:p w:rsidR="00A910F8" w:rsidRDefault="00E07596">
      <w:pPr>
        <w:spacing w:line="360" w:lineRule="auto"/>
        <w:ind w:firstLineChars="200" w:firstLine="562"/>
        <w:jc w:val="center"/>
        <w:rPr>
          <w:rFonts w:ascii="楷体" w:eastAsia="楷体" w:hAnsi="楷体" w:cs="楷体"/>
          <w:b/>
          <w:color w:val="000000"/>
          <w:sz w:val="28"/>
          <w:szCs w:val="28"/>
        </w:rPr>
      </w:pPr>
      <w:r>
        <w:rPr>
          <w:rFonts w:ascii="楷体" w:eastAsia="楷体" w:hAnsi="楷体" w:cs="楷体" w:hint="eastAsia"/>
          <w:b/>
          <w:color w:val="000000"/>
          <w:sz w:val="28"/>
          <w:szCs w:val="28"/>
        </w:rPr>
        <w:t>二〇二一年十一月</w:t>
      </w:r>
    </w:p>
    <w:p w:rsidR="00A910F8" w:rsidRDefault="00A910F8">
      <w:pPr>
        <w:spacing w:line="360" w:lineRule="auto"/>
        <w:ind w:firstLineChars="200" w:firstLine="562"/>
        <w:jc w:val="center"/>
        <w:rPr>
          <w:rFonts w:ascii="楷体" w:eastAsia="楷体" w:hAnsi="楷体" w:cs="楷体"/>
          <w:b/>
          <w:color w:val="000000"/>
          <w:sz w:val="28"/>
          <w:szCs w:val="28"/>
        </w:rPr>
      </w:pPr>
    </w:p>
    <w:p w:rsidR="00A910F8" w:rsidRDefault="00A910F8">
      <w:pPr>
        <w:spacing w:line="360" w:lineRule="auto"/>
        <w:ind w:firstLineChars="200" w:firstLine="562"/>
        <w:jc w:val="center"/>
        <w:rPr>
          <w:rFonts w:ascii="楷体" w:eastAsia="楷体" w:hAnsi="楷体" w:cs="楷体"/>
          <w:b/>
          <w:color w:val="000000"/>
          <w:sz w:val="28"/>
          <w:szCs w:val="28"/>
        </w:rPr>
        <w:sectPr w:rsidR="00A910F8">
          <w:pgSz w:w="11906" w:h="16838"/>
          <w:pgMar w:top="1440" w:right="1800" w:bottom="1440" w:left="1800" w:header="851" w:footer="992" w:gutter="0"/>
          <w:pgNumType w:fmt="numberInDash"/>
          <w:cols w:space="720"/>
          <w:docGrid w:type="lines" w:linePitch="312"/>
        </w:sectPr>
      </w:pPr>
    </w:p>
    <w:sdt>
      <w:sdtPr>
        <w:rPr>
          <w:rFonts w:ascii="楷体" w:eastAsia="楷体" w:hAnsi="楷体" w:cs="楷体" w:hint="eastAsia"/>
          <w:sz w:val="18"/>
          <w:szCs w:val="16"/>
        </w:rPr>
        <w:id w:val="147454263"/>
        <w:docPartObj>
          <w:docPartGallery w:val="Table of Contents"/>
          <w:docPartUnique/>
        </w:docPartObj>
      </w:sdtPr>
      <w:sdtEndPr>
        <w:rPr>
          <w:b/>
          <w:sz w:val="22"/>
          <w:szCs w:val="15"/>
        </w:rPr>
      </w:sdtEndPr>
      <w:sdtContent>
        <w:p w:rsidR="00A910F8" w:rsidRDefault="00E07596">
          <w:pPr>
            <w:jc w:val="center"/>
            <w:rPr>
              <w:rFonts w:ascii="楷体" w:eastAsia="楷体" w:hAnsi="楷体" w:cs="楷体"/>
              <w:b/>
              <w:bCs/>
              <w:szCs w:val="32"/>
            </w:rPr>
          </w:pPr>
          <w:r>
            <w:rPr>
              <w:rFonts w:ascii="楷体" w:eastAsia="楷体" w:hAnsi="楷体" w:cs="楷体" w:hint="eastAsia"/>
              <w:b/>
              <w:bCs/>
              <w:szCs w:val="32"/>
            </w:rPr>
            <w:t>目录</w:t>
          </w:r>
        </w:p>
        <w:p w:rsidR="00A910F8" w:rsidRDefault="00E07596">
          <w:pPr>
            <w:pStyle w:val="10"/>
            <w:tabs>
              <w:tab w:val="right" w:leader="dot" w:pos="8845"/>
            </w:tabs>
            <w:rPr>
              <w:sz w:val="24"/>
              <w:szCs w:val="16"/>
            </w:rPr>
          </w:pPr>
          <w:r>
            <w:rPr>
              <w:rFonts w:ascii="楷体" w:eastAsia="楷体" w:hAnsi="楷体" w:cs="楷体" w:hint="eastAsia"/>
              <w:sz w:val="22"/>
              <w:szCs w:val="15"/>
            </w:rPr>
            <w:fldChar w:fldCharType="begin"/>
          </w:r>
          <w:r>
            <w:rPr>
              <w:rFonts w:ascii="楷体" w:eastAsia="楷体" w:hAnsi="楷体" w:cs="楷体" w:hint="eastAsia"/>
              <w:sz w:val="22"/>
              <w:szCs w:val="15"/>
            </w:rPr>
            <w:instrText xml:space="preserve">TOC \o "1-2" \h \u </w:instrText>
          </w:r>
          <w:r>
            <w:rPr>
              <w:rFonts w:ascii="楷体" w:eastAsia="楷体" w:hAnsi="楷体" w:cs="楷体" w:hint="eastAsia"/>
              <w:sz w:val="22"/>
              <w:szCs w:val="15"/>
            </w:rPr>
            <w:fldChar w:fldCharType="separate"/>
          </w:r>
          <w:hyperlink w:anchor="_Toc32105" w:history="1">
            <w:r>
              <w:rPr>
                <w:rFonts w:ascii="楷体" w:eastAsia="楷体" w:hAnsi="楷体" w:cs="楷体" w:hint="eastAsia"/>
                <w:sz w:val="24"/>
                <w:szCs w:val="22"/>
              </w:rPr>
              <w:t>一、专业基本概况</w:t>
            </w:r>
            <w:r>
              <w:rPr>
                <w:sz w:val="24"/>
                <w:szCs w:val="16"/>
              </w:rPr>
              <w:tab/>
            </w:r>
            <w:r>
              <w:rPr>
                <w:sz w:val="24"/>
                <w:szCs w:val="16"/>
              </w:rPr>
              <w:fldChar w:fldCharType="begin"/>
            </w:r>
            <w:r>
              <w:rPr>
                <w:sz w:val="24"/>
                <w:szCs w:val="16"/>
              </w:rPr>
              <w:instrText xml:space="preserve"> PAGEREF _Toc32105 \h </w:instrText>
            </w:r>
            <w:r>
              <w:rPr>
                <w:sz w:val="24"/>
                <w:szCs w:val="16"/>
              </w:rPr>
            </w:r>
            <w:r>
              <w:rPr>
                <w:sz w:val="24"/>
                <w:szCs w:val="16"/>
              </w:rPr>
              <w:fldChar w:fldCharType="separate"/>
            </w:r>
            <w:r w:rsidR="00087601">
              <w:rPr>
                <w:noProof/>
                <w:sz w:val="24"/>
                <w:szCs w:val="16"/>
              </w:rPr>
              <w:t>- 1 -</w:t>
            </w:r>
            <w:r>
              <w:rPr>
                <w:sz w:val="24"/>
                <w:szCs w:val="16"/>
              </w:rPr>
              <w:fldChar w:fldCharType="end"/>
            </w:r>
          </w:hyperlink>
        </w:p>
        <w:p w:rsidR="00A910F8" w:rsidRDefault="00014399" w:rsidP="00D02887">
          <w:pPr>
            <w:pStyle w:val="20"/>
            <w:tabs>
              <w:tab w:val="right" w:leader="dot" w:pos="8845"/>
            </w:tabs>
            <w:ind w:left="632"/>
            <w:rPr>
              <w:sz w:val="24"/>
              <w:szCs w:val="16"/>
            </w:rPr>
          </w:pPr>
          <w:hyperlink w:anchor="_Toc263" w:history="1">
            <w:r w:rsidR="00E07596">
              <w:rPr>
                <w:rFonts w:ascii="楷体" w:eastAsia="楷体" w:hAnsi="楷体" w:cs="楷体" w:hint="eastAsia"/>
                <w:sz w:val="24"/>
                <w:szCs w:val="21"/>
              </w:rPr>
              <w:t>（一）专业概况</w:t>
            </w:r>
            <w:r w:rsidR="00E07596">
              <w:rPr>
                <w:sz w:val="24"/>
                <w:szCs w:val="16"/>
              </w:rPr>
              <w:tab/>
            </w:r>
            <w:r w:rsidR="00E07596">
              <w:rPr>
                <w:sz w:val="24"/>
                <w:szCs w:val="16"/>
              </w:rPr>
              <w:fldChar w:fldCharType="begin"/>
            </w:r>
            <w:r w:rsidR="00E07596">
              <w:rPr>
                <w:sz w:val="24"/>
                <w:szCs w:val="16"/>
              </w:rPr>
              <w:instrText xml:space="preserve"> PAGEREF _Toc263 \h </w:instrText>
            </w:r>
            <w:r w:rsidR="00E07596">
              <w:rPr>
                <w:sz w:val="24"/>
                <w:szCs w:val="16"/>
              </w:rPr>
            </w:r>
            <w:r w:rsidR="00E07596">
              <w:rPr>
                <w:sz w:val="24"/>
                <w:szCs w:val="16"/>
              </w:rPr>
              <w:fldChar w:fldCharType="separate"/>
            </w:r>
            <w:r w:rsidR="00087601">
              <w:rPr>
                <w:noProof/>
                <w:sz w:val="24"/>
                <w:szCs w:val="16"/>
              </w:rPr>
              <w:t>- 1 -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23672" w:history="1">
            <w:r w:rsidR="00E07596">
              <w:rPr>
                <w:rFonts w:ascii="楷体" w:eastAsia="楷体" w:hAnsi="楷体" w:cs="楷体" w:hint="eastAsia"/>
                <w:sz w:val="24"/>
                <w:szCs w:val="22"/>
              </w:rPr>
              <w:t>（二）专业人才培养目标和培养模式</w:t>
            </w:r>
            <w:r w:rsidR="00E07596">
              <w:rPr>
                <w:sz w:val="24"/>
                <w:szCs w:val="16"/>
              </w:rPr>
              <w:tab/>
            </w:r>
            <w:r w:rsidR="00E07596">
              <w:rPr>
                <w:sz w:val="24"/>
                <w:szCs w:val="16"/>
              </w:rPr>
              <w:fldChar w:fldCharType="begin"/>
            </w:r>
            <w:r w:rsidR="00E07596">
              <w:rPr>
                <w:sz w:val="24"/>
                <w:szCs w:val="16"/>
              </w:rPr>
              <w:instrText xml:space="preserve"> PAGEREF _Toc23672 \h </w:instrText>
            </w:r>
            <w:r w:rsidR="00E07596">
              <w:rPr>
                <w:sz w:val="24"/>
                <w:szCs w:val="16"/>
              </w:rPr>
            </w:r>
            <w:r w:rsidR="00E07596">
              <w:rPr>
                <w:sz w:val="24"/>
                <w:szCs w:val="16"/>
              </w:rPr>
              <w:fldChar w:fldCharType="separate"/>
            </w:r>
            <w:r w:rsidR="00087601">
              <w:rPr>
                <w:noProof/>
                <w:sz w:val="24"/>
                <w:szCs w:val="16"/>
              </w:rPr>
              <w:t>- 2 -</w:t>
            </w:r>
            <w:r w:rsidR="00E07596">
              <w:rPr>
                <w:sz w:val="24"/>
                <w:szCs w:val="16"/>
              </w:rPr>
              <w:fldChar w:fldCharType="end"/>
            </w:r>
          </w:hyperlink>
        </w:p>
        <w:p w:rsidR="00A910F8" w:rsidRDefault="00014399">
          <w:pPr>
            <w:pStyle w:val="10"/>
            <w:tabs>
              <w:tab w:val="right" w:leader="dot" w:pos="8845"/>
            </w:tabs>
            <w:rPr>
              <w:sz w:val="24"/>
              <w:szCs w:val="16"/>
            </w:rPr>
          </w:pPr>
          <w:hyperlink w:anchor="_Toc4154" w:history="1">
            <w:r w:rsidR="00E07596">
              <w:rPr>
                <w:rFonts w:ascii="楷体" w:eastAsia="楷体" w:hAnsi="楷体" w:cs="楷体" w:hint="eastAsia"/>
                <w:sz w:val="24"/>
                <w:szCs w:val="22"/>
              </w:rPr>
              <w:t>二、专业师资与教学条件</w:t>
            </w:r>
            <w:r w:rsidR="00E07596">
              <w:rPr>
                <w:sz w:val="24"/>
                <w:szCs w:val="16"/>
              </w:rPr>
              <w:tab/>
            </w:r>
            <w:r w:rsidR="00E07596">
              <w:rPr>
                <w:sz w:val="24"/>
                <w:szCs w:val="16"/>
              </w:rPr>
              <w:fldChar w:fldCharType="begin"/>
            </w:r>
            <w:r w:rsidR="00E07596">
              <w:rPr>
                <w:sz w:val="24"/>
                <w:szCs w:val="16"/>
              </w:rPr>
              <w:instrText xml:space="preserve"> PAGEREF _Toc4154 \h </w:instrText>
            </w:r>
            <w:r w:rsidR="00E07596">
              <w:rPr>
                <w:sz w:val="24"/>
                <w:szCs w:val="16"/>
              </w:rPr>
            </w:r>
            <w:r w:rsidR="00E07596">
              <w:rPr>
                <w:sz w:val="24"/>
                <w:szCs w:val="16"/>
              </w:rPr>
              <w:fldChar w:fldCharType="separate"/>
            </w:r>
            <w:r w:rsidR="00087601">
              <w:rPr>
                <w:noProof/>
                <w:sz w:val="24"/>
                <w:szCs w:val="16"/>
              </w:rPr>
              <w:t>- 9 -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30697" w:history="1">
            <w:r w:rsidR="00E07596">
              <w:rPr>
                <w:rFonts w:ascii="楷体" w:eastAsia="楷体" w:hAnsi="楷体" w:cs="楷体" w:hint="eastAsia"/>
                <w:sz w:val="24"/>
                <w:szCs w:val="21"/>
              </w:rPr>
              <w:t>（一）师资现状与发展</w:t>
            </w:r>
            <w:r w:rsidR="00E07596">
              <w:rPr>
                <w:sz w:val="24"/>
                <w:szCs w:val="16"/>
              </w:rPr>
              <w:tab/>
            </w:r>
            <w:r w:rsidR="00E07596">
              <w:rPr>
                <w:sz w:val="24"/>
                <w:szCs w:val="16"/>
              </w:rPr>
              <w:fldChar w:fldCharType="begin"/>
            </w:r>
            <w:r w:rsidR="00E07596">
              <w:rPr>
                <w:sz w:val="24"/>
                <w:szCs w:val="16"/>
              </w:rPr>
              <w:instrText xml:space="preserve"> PAGEREF _Toc30697 \h </w:instrText>
            </w:r>
            <w:r w:rsidR="00E07596">
              <w:rPr>
                <w:sz w:val="24"/>
                <w:szCs w:val="16"/>
              </w:rPr>
            </w:r>
            <w:r w:rsidR="00E07596">
              <w:rPr>
                <w:sz w:val="24"/>
                <w:szCs w:val="16"/>
              </w:rPr>
              <w:fldChar w:fldCharType="separate"/>
            </w:r>
            <w:r w:rsidR="00087601">
              <w:rPr>
                <w:noProof/>
                <w:sz w:val="24"/>
                <w:szCs w:val="16"/>
              </w:rPr>
              <w:t>- 9 -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30828" w:history="1">
            <w:r w:rsidR="00E07596">
              <w:rPr>
                <w:rFonts w:ascii="楷体" w:eastAsia="楷体" w:hAnsi="楷体" w:cs="楷体" w:hint="eastAsia"/>
                <w:sz w:val="24"/>
                <w:szCs w:val="21"/>
              </w:rPr>
              <w:t>（二）教学条件与投入</w:t>
            </w:r>
            <w:r w:rsidR="00E07596">
              <w:rPr>
                <w:sz w:val="24"/>
                <w:szCs w:val="16"/>
              </w:rPr>
              <w:tab/>
            </w:r>
            <w:r w:rsidR="00E07596">
              <w:rPr>
                <w:sz w:val="24"/>
                <w:szCs w:val="16"/>
              </w:rPr>
              <w:fldChar w:fldCharType="begin"/>
            </w:r>
            <w:r w:rsidR="00E07596">
              <w:rPr>
                <w:sz w:val="24"/>
                <w:szCs w:val="16"/>
              </w:rPr>
              <w:instrText xml:space="preserve"> PAGEREF _Toc30828 \h </w:instrText>
            </w:r>
            <w:r w:rsidR="00E07596">
              <w:rPr>
                <w:sz w:val="24"/>
                <w:szCs w:val="16"/>
              </w:rPr>
            </w:r>
            <w:r w:rsidR="00E07596">
              <w:rPr>
                <w:sz w:val="24"/>
                <w:szCs w:val="16"/>
              </w:rPr>
              <w:fldChar w:fldCharType="separate"/>
            </w:r>
            <w:r w:rsidR="00087601">
              <w:rPr>
                <w:noProof/>
                <w:sz w:val="24"/>
                <w:szCs w:val="16"/>
              </w:rPr>
              <w:t>- 15 -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20195" w:history="1">
            <w:r w:rsidR="00E07596">
              <w:rPr>
                <w:rFonts w:ascii="楷体" w:eastAsia="楷体" w:hAnsi="楷体" w:cs="楷体" w:hint="eastAsia"/>
                <w:sz w:val="24"/>
                <w:szCs w:val="21"/>
              </w:rPr>
              <w:t>（三）教学激励计划</w:t>
            </w:r>
            <w:r w:rsidR="00E07596">
              <w:rPr>
                <w:sz w:val="24"/>
                <w:szCs w:val="16"/>
              </w:rPr>
              <w:tab/>
            </w:r>
            <w:r w:rsidR="00E07596">
              <w:rPr>
                <w:sz w:val="24"/>
                <w:szCs w:val="16"/>
              </w:rPr>
              <w:fldChar w:fldCharType="begin"/>
            </w:r>
            <w:r w:rsidR="00E07596">
              <w:rPr>
                <w:sz w:val="24"/>
                <w:szCs w:val="16"/>
              </w:rPr>
              <w:instrText xml:space="preserve"> PAGEREF _Toc20195 \h </w:instrText>
            </w:r>
            <w:r w:rsidR="00E07596">
              <w:rPr>
                <w:sz w:val="24"/>
                <w:szCs w:val="16"/>
              </w:rPr>
            </w:r>
            <w:r w:rsidR="00E07596">
              <w:rPr>
                <w:sz w:val="24"/>
                <w:szCs w:val="16"/>
              </w:rPr>
              <w:fldChar w:fldCharType="separate"/>
            </w:r>
            <w:r w:rsidR="00087601">
              <w:rPr>
                <w:noProof/>
                <w:sz w:val="24"/>
                <w:szCs w:val="16"/>
              </w:rPr>
              <w:t>- 16 -</w:t>
            </w:r>
            <w:r w:rsidR="00E07596">
              <w:rPr>
                <w:sz w:val="24"/>
                <w:szCs w:val="16"/>
              </w:rPr>
              <w:fldChar w:fldCharType="end"/>
            </w:r>
          </w:hyperlink>
        </w:p>
        <w:p w:rsidR="00A910F8" w:rsidRDefault="00014399">
          <w:pPr>
            <w:pStyle w:val="10"/>
            <w:tabs>
              <w:tab w:val="right" w:leader="dot" w:pos="8845"/>
            </w:tabs>
            <w:rPr>
              <w:sz w:val="24"/>
              <w:szCs w:val="16"/>
            </w:rPr>
          </w:pPr>
          <w:hyperlink w:anchor="_Toc1902" w:history="1">
            <w:r w:rsidR="00E07596">
              <w:rPr>
                <w:rFonts w:ascii="楷体" w:eastAsia="楷体" w:hAnsi="楷体" w:cs="楷体" w:hint="eastAsia"/>
                <w:sz w:val="24"/>
                <w:szCs w:val="22"/>
              </w:rPr>
              <w:t>三、专业教学建设与改革</w:t>
            </w:r>
            <w:r w:rsidR="00E07596">
              <w:rPr>
                <w:sz w:val="24"/>
                <w:szCs w:val="16"/>
              </w:rPr>
              <w:tab/>
            </w:r>
            <w:r w:rsidR="00E07596">
              <w:rPr>
                <w:sz w:val="24"/>
                <w:szCs w:val="16"/>
              </w:rPr>
              <w:fldChar w:fldCharType="begin"/>
            </w:r>
            <w:r w:rsidR="00E07596">
              <w:rPr>
                <w:sz w:val="24"/>
                <w:szCs w:val="16"/>
              </w:rPr>
              <w:instrText xml:space="preserve"> PAGEREF _Toc1902 \h </w:instrText>
            </w:r>
            <w:r w:rsidR="00E07596">
              <w:rPr>
                <w:sz w:val="24"/>
                <w:szCs w:val="16"/>
              </w:rPr>
            </w:r>
            <w:r w:rsidR="00E07596">
              <w:rPr>
                <w:sz w:val="24"/>
                <w:szCs w:val="16"/>
              </w:rPr>
              <w:fldChar w:fldCharType="separate"/>
            </w:r>
            <w:r w:rsidR="00087601">
              <w:rPr>
                <w:noProof/>
                <w:sz w:val="24"/>
                <w:szCs w:val="16"/>
              </w:rPr>
              <w:t>- 17 -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7726" w:history="1">
            <w:r w:rsidR="00E07596">
              <w:rPr>
                <w:rFonts w:ascii="楷体" w:eastAsia="楷体" w:hAnsi="楷体" w:cs="楷体" w:hint="eastAsia"/>
                <w:sz w:val="24"/>
                <w:szCs w:val="21"/>
              </w:rPr>
              <w:t>（一）课程与教材建设</w:t>
            </w:r>
            <w:r w:rsidR="00E07596">
              <w:rPr>
                <w:sz w:val="24"/>
                <w:szCs w:val="16"/>
              </w:rPr>
              <w:tab/>
            </w:r>
            <w:r w:rsidR="00E07596">
              <w:rPr>
                <w:sz w:val="24"/>
                <w:szCs w:val="16"/>
              </w:rPr>
              <w:fldChar w:fldCharType="begin"/>
            </w:r>
            <w:r w:rsidR="00E07596">
              <w:rPr>
                <w:sz w:val="24"/>
                <w:szCs w:val="16"/>
              </w:rPr>
              <w:instrText xml:space="preserve"> PAGEREF _Toc7726 \h </w:instrText>
            </w:r>
            <w:r w:rsidR="00E07596">
              <w:rPr>
                <w:sz w:val="24"/>
                <w:szCs w:val="16"/>
              </w:rPr>
            </w:r>
            <w:r w:rsidR="00E07596">
              <w:rPr>
                <w:sz w:val="24"/>
                <w:szCs w:val="16"/>
              </w:rPr>
              <w:fldChar w:fldCharType="separate"/>
            </w:r>
            <w:r w:rsidR="00087601">
              <w:rPr>
                <w:noProof/>
                <w:sz w:val="24"/>
                <w:szCs w:val="16"/>
              </w:rPr>
              <w:t>- 17 -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31798" w:history="1">
            <w:r w:rsidR="00E07596">
              <w:rPr>
                <w:rFonts w:ascii="楷体" w:eastAsia="楷体" w:hAnsi="楷体" w:cs="楷体" w:hint="eastAsia"/>
                <w:sz w:val="24"/>
                <w:szCs w:val="21"/>
              </w:rPr>
              <w:t>（二）实验实践教学</w:t>
            </w:r>
            <w:r w:rsidR="00E07596">
              <w:rPr>
                <w:sz w:val="24"/>
                <w:szCs w:val="16"/>
              </w:rPr>
              <w:tab/>
            </w:r>
            <w:r w:rsidR="00E07596">
              <w:rPr>
                <w:sz w:val="24"/>
                <w:szCs w:val="16"/>
              </w:rPr>
              <w:fldChar w:fldCharType="begin"/>
            </w:r>
            <w:r w:rsidR="00E07596">
              <w:rPr>
                <w:sz w:val="24"/>
                <w:szCs w:val="16"/>
              </w:rPr>
              <w:instrText xml:space="preserve"> PAGEREF _Toc31798 \h </w:instrText>
            </w:r>
            <w:r w:rsidR="00E07596">
              <w:rPr>
                <w:sz w:val="24"/>
                <w:szCs w:val="16"/>
              </w:rPr>
            </w:r>
            <w:r w:rsidR="00E07596">
              <w:rPr>
                <w:sz w:val="24"/>
                <w:szCs w:val="16"/>
              </w:rPr>
              <w:fldChar w:fldCharType="separate"/>
            </w:r>
            <w:r w:rsidR="00087601">
              <w:rPr>
                <w:noProof/>
                <w:sz w:val="24"/>
                <w:szCs w:val="16"/>
              </w:rPr>
              <w:t>- 19 -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4339" w:history="1">
            <w:r w:rsidR="00E07596">
              <w:rPr>
                <w:rFonts w:ascii="楷体" w:eastAsia="楷体" w:hAnsi="楷体" w:cs="楷体" w:hint="eastAsia"/>
                <w:sz w:val="24"/>
                <w:szCs w:val="21"/>
              </w:rPr>
              <w:t>（三）教学改革</w:t>
            </w:r>
            <w:r w:rsidR="00E07596">
              <w:rPr>
                <w:sz w:val="24"/>
                <w:szCs w:val="16"/>
              </w:rPr>
              <w:tab/>
            </w:r>
            <w:r w:rsidR="00E07596">
              <w:rPr>
                <w:sz w:val="24"/>
                <w:szCs w:val="16"/>
              </w:rPr>
              <w:fldChar w:fldCharType="begin"/>
            </w:r>
            <w:r w:rsidR="00E07596">
              <w:rPr>
                <w:sz w:val="24"/>
                <w:szCs w:val="16"/>
              </w:rPr>
              <w:instrText xml:space="preserve"> PAGEREF _Toc4339 \h </w:instrText>
            </w:r>
            <w:r w:rsidR="00E07596">
              <w:rPr>
                <w:sz w:val="24"/>
                <w:szCs w:val="16"/>
              </w:rPr>
            </w:r>
            <w:r w:rsidR="00E07596">
              <w:rPr>
                <w:sz w:val="24"/>
                <w:szCs w:val="16"/>
              </w:rPr>
              <w:fldChar w:fldCharType="separate"/>
            </w:r>
            <w:r w:rsidR="00087601">
              <w:rPr>
                <w:noProof/>
                <w:sz w:val="24"/>
                <w:szCs w:val="16"/>
              </w:rPr>
              <w:t>- 22 -</w:t>
            </w:r>
            <w:r w:rsidR="00E07596">
              <w:rPr>
                <w:sz w:val="24"/>
                <w:szCs w:val="16"/>
              </w:rPr>
              <w:fldChar w:fldCharType="end"/>
            </w:r>
          </w:hyperlink>
        </w:p>
        <w:p w:rsidR="00A910F8" w:rsidRDefault="00014399">
          <w:pPr>
            <w:pStyle w:val="10"/>
            <w:tabs>
              <w:tab w:val="right" w:leader="dot" w:pos="8845"/>
            </w:tabs>
            <w:rPr>
              <w:sz w:val="24"/>
              <w:szCs w:val="16"/>
            </w:rPr>
          </w:pPr>
          <w:hyperlink w:anchor="_Toc17714" w:history="1">
            <w:r w:rsidR="00E07596">
              <w:rPr>
                <w:rFonts w:ascii="楷体" w:eastAsia="楷体" w:hAnsi="楷体" w:cs="楷体" w:hint="eastAsia"/>
                <w:sz w:val="24"/>
                <w:szCs w:val="21"/>
              </w:rPr>
              <w:t>四、专业教学质量监控与保障</w:t>
            </w:r>
            <w:r w:rsidR="00E07596">
              <w:rPr>
                <w:sz w:val="24"/>
                <w:szCs w:val="16"/>
              </w:rPr>
              <w:tab/>
            </w:r>
            <w:r w:rsidR="00E07596">
              <w:rPr>
                <w:sz w:val="24"/>
                <w:szCs w:val="16"/>
              </w:rPr>
              <w:fldChar w:fldCharType="begin"/>
            </w:r>
            <w:r w:rsidR="00E07596">
              <w:rPr>
                <w:sz w:val="24"/>
                <w:szCs w:val="16"/>
              </w:rPr>
              <w:instrText xml:space="preserve"> PAGEREF _Toc17714 \h </w:instrText>
            </w:r>
            <w:r w:rsidR="00E07596">
              <w:rPr>
                <w:sz w:val="24"/>
                <w:szCs w:val="16"/>
              </w:rPr>
            </w:r>
            <w:r w:rsidR="00E07596">
              <w:rPr>
                <w:sz w:val="24"/>
                <w:szCs w:val="16"/>
              </w:rPr>
              <w:fldChar w:fldCharType="separate"/>
            </w:r>
            <w:r w:rsidR="00087601">
              <w:rPr>
                <w:noProof/>
                <w:sz w:val="24"/>
                <w:szCs w:val="16"/>
              </w:rPr>
              <w:t>- 24 -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5183" w:history="1">
            <w:r w:rsidR="00E07596">
              <w:rPr>
                <w:rFonts w:ascii="楷体" w:eastAsia="楷体" w:hAnsi="楷体" w:cs="楷体" w:hint="eastAsia"/>
                <w:sz w:val="24"/>
                <w:szCs w:val="21"/>
              </w:rPr>
              <w:t>（一）教学质量体系建设</w:t>
            </w:r>
            <w:r w:rsidR="00E07596">
              <w:rPr>
                <w:sz w:val="24"/>
                <w:szCs w:val="16"/>
              </w:rPr>
              <w:tab/>
            </w:r>
            <w:r w:rsidR="00E07596">
              <w:rPr>
                <w:sz w:val="24"/>
                <w:szCs w:val="16"/>
              </w:rPr>
              <w:fldChar w:fldCharType="begin"/>
            </w:r>
            <w:r w:rsidR="00E07596">
              <w:rPr>
                <w:sz w:val="24"/>
                <w:szCs w:val="16"/>
              </w:rPr>
              <w:instrText xml:space="preserve"> PAGEREF _Toc5183 \h </w:instrText>
            </w:r>
            <w:r w:rsidR="00E07596">
              <w:rPr>
                <w:sz w:val="24"/>
                <w:szCs w:val="16"/>
              </w:rPr>
            </w:r>
            <w:r w:rsidR="00E07596">
              <w:rPr>
                <w:sz w:val="24"/>
                <w:szCs w:val="16"/>
              </w:rPr>
              <w:fldChar w:fldCharType="separate"/>
            </w:r>
            <w:r w:rsidR="00087601">
              <w:rPr>
                <w:noProof/>
                <w:sz w:val="24"/>
                <w:szCs w:val="16"/>
              </w:rPr>
              <w:t>- 24 -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23080" w:history="1">
            <w:r w:rsidR="00E07596">
              <w:rPr>
                <w:rFonts w:ascii="楷体" w:eastAsia="楷体" w:hAnsi="楷体" w:cs="楷体" w:hint="eastAsia"/>
                <w:sz w:val="24"/>
                <w:szCs w:val="21"/>
              </w:rPr>
              <w:t>（二）教学质量监控运行</w:t>
            </w:r>
            <w:r w:rsidR="00E07596">
              <w:rPr>
                <w:sz w:val="24"/>
                <w:szCs w:val="16"/>
              </w:rPr>
              <w:tab/>
            </w:r>
            <w:r w:rsidR="00E07596">
              <w:rPr>
                <w:sz w:val="24"/>
                <w:szCs w:val="16"/>
              </w:rPr>
              <w:fldChar w:fldCharType="begin"/>
            </w:r>
            <w:r w:rsidR="00E07596">
              <w:rPr>
                <w:sz w:val="24"/>
                <w:szCs w:val="16"/>
              </w:rPr>
              <w:instrText xml:space="preserve"> PAGEREF _Toc23080 \h </w:instrText>
            </w:r>
            <w:r w:rsidR="00E07596">
              <w:rPr>
                <w:sz w:val="24"/>
                <w:szCs w:val="16"/>
              </w:rPr>
            </w:r>
            <w:r w:rsidR="00E07596">
              <w:rPr>
                <w:sz w:val="24"/>
                <w:szCs w:val="16"/>
              </w:rPr>
              <w:fldChar w:fldCharType="separate"/>
            </w:r>
            <w:r w:rsidR="00087601">
              <w:rPr>
                <w:noProof/>
                <w:sz w:val="24"/>
                <w:szCs w:val="16"/>
              </w:rPr>
              <w:t>- 25 -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19439" w:history="1">
            <w:r w:rsidR="00E07596">
              <w:rPr>
                <w:rFonts w:ascii="楷体" w:eastAsia="楷体" w:hAnsi="楷体" w:cs="楷体" w:hint="eastAsia"/>
                <w:sz w:val="24"/>
                <w:szCs w:val="21"/>
              </w:rPr>
              <w:t>（三）教学质量评估与反馈</w:t>
            </w:r>
            <w:r w:rsidR="00E07596">
              <w:rPr>
                <w:sz w:val="24"/>
                <w:szCs w:val="16"/>
              </w:rPr>
              <w:tab/>
            </w:r>
            <w:r w:rsidR="00E07596">
              <w:rPr>
                <w:sz w:val="24"/>
                <w:szCs w:val="16"/>
              </w:rPr>
              <w:fldChar w:fldCharType="begin"/>
            </w:r>
            <w:r w:rsidR="00E07596">
              <w:rPr>
                <w:sz w:val="24"/>
                <w:szCs w:val="16"/>
              </w:rPr>
              <w:instrText xml:space="preserve"> PAGEREF _Toc19439 \h </w:instrText>
            </w:r>
            <w:r w:rsidR="00E07596">
              <w:rPr>
                <w:sz w:val="24"/>
                <w:szCs w:val="16"/>
              </w:rPr>
            </w:r>
            <w:r w:rsidR="00E07596">
              <w:rPr>
                <w:sz w:val="24"/>
                <w:szCs w:val="16"/>
              </w:rPr>
              <w:fldChar w:fldCharType="separate"/>
            </w:r>
            <w:r w:rsidR="00087601">
              <w:rPr>
                <w:noProof/>
                <w:sz w:val="24"/>
                <w:szCs w:val="16"/>
              </w:rPr>
              <w:t>- 25 -</w:t>
            </w:r>
            <w:r w:rsidR="00E07596">
              <w:rPr>
                <w:sz w:val="24"/>
                <w:szCs w:val="16"/>
              </w:rPr>
              <w:fldChar w:fldCharType="end"/>
            </w:r>
          </w:hyperlink>
        </w:p>
        <w:p w:rsidR="00A910F8" w:rsidRDefault="00014399">
          <w:pPr>
            <w:pStyle w:val="10"/>
            <w:tabs>
              <w:tab w:val="right" w:leader="dot" w:pos="8845"/>
            </w:tabs>
            <w:rPr>
              <w:sz w:val="24"/>
              <w:szCs w:val="16"/>
            </w:rPr>
          </w:pPr>
          <w:hyperlink w:anchor="_Toc22022" w:history="1">
            <w:r w:rsidR="00E07596">
              <w:rPr>
                <w:rFonts w:ascii="楷体" w:eastAsia="楷体" w:hAnsi="楷体" w:cs="楷体" w:hint="eastAsia"/>
                <w:sz w:val="24"/>
                <w:szCs w:val="22"/>
              </w:rPr>
              <w:t>五、专业教学质量与效果</w:t>
            </w:r>
            <w:r w:rsidR="00E07596">
              <w:rPr>
                <w:sz w:val="24"/>
                <w:szCs w:val="16"/>
              </w:rPr>
              <w:tab/>
            </w:r>
            <w:r w:rsidR="00E07596">
              <w:rPr>
                <w:sz w:val="24"/>
                <w:szCs w:val="16"/>
              </w:rPr>
              <w:fldChar w:fldCharType="begin"/>
            </w:r>
            <w:r w:rsidR="00E07596">
              <w:rPr>
                <w:sz w:val="24"/>
                <w:szCs w:val="16"/>
              </w:rPr>
              <w:instrText xml:space="preserve"> PAGEREF _Toc22022 \h </w:instrText>
            </w:r>
            <w:r w:rsidR="00E07596">
              <w:rPr>
                <w:sz w:val="24"/>
                <w:szCs w:val="16"/>
              </w:rPr>
            </w:r>
            <w:r w:rsidR="00E07596">
              <w:rPr>
                <w:sz w:val="24"/>
                <w:szCs w:val="16"/>
              </w:rPr>
              <w:fldChar w:fldCharType="separate"/>
            </w:r>
            <w:r w:rsidR="00087601">
              <w:rPr>
                <w:noProof/>
                <w:sz w:val="24"/>
                <w:szCs w:val="16"/>
              </w:rPr>
              <w:t>- 26 -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23471" w:history="1">
            <w:r w:rsidR="00E07596">
              <w:rPr>
                <w:rFonts w:ascii="楷体" w:eastAsia="楷体" w:hAnsi="楷体" w:cs="楷体" w:hint="eastAsia"/>
                <w:sz w:val="24"/>
                <w:szCs w:val="21"/>
              </w:rPr>
              <w:t>（一）学风建设情况及效果</w:t>
            </w:r>
            <w:r w:rsidR="00E07596">
              <w:rPr>
                <w:sz w:val="24"/>
                <w:szCs w:val="16"/>
              </w:rPr>
              <w:tab/>
            </w:r>
            <w:r w:rsidR="00E07596">
              <w:rPr>
                <w:sz w:val="24"/>
                <w:szCs w:val="16"/>
              </w:rPr>
              <w:fldChar w:fldCharType="begin"/>
            </w:r>
            <w:r w:rsidR="00E07596">
              <w:rPr>
                <w:sz w:val="24"/>
                <w:szCs w:val="16"/>
              </w:rPr>
              <w:instrText xml:space="preserve"> PAGEREF _Toc23471 \h </w:instrText>
            </w:r>
            <w:r w:rsidR="00E07596">
              <w:rPr>
                <w:sz w:val="24"/>
                <w:szCs w:val="16"/>
              </w:rPr>
            </w:r>
            <w:r w:rsidR="00E07596">
              <w:rPr>
                <w:sz w:val="24"/>
                <w:szCs w:val="16"/>
              </w:rPr>
              <w:fldChar w:fldCharType="separate"/>
            </w:r>
            <w:r w:rsidR="00087601">
              <w:rPr>
                <w:noProof/>
                <w:sz w:val="24"/>
                <w:szCs w:val="16"/>
              </w:rPr>
              <w:t>- 26 -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22614" w:history="1">
            <w:r w:rsidR="00E07596">
              <w:rPr>
                <w:rFonts w:ascii="楷体" w:eastAsia="楷体" w:hAnsi="楷体" w:cs="楷体" w:hint="eastAsia"/>
                <w:sz w:val="24"/>
                <w:szCs w:val="21"/>
              </w:rPr>
              <w:t>（二）学生学习成绩</w:t>
            </w:r>
            <w:r w:rsidR="00E07596">
              <w:rPr>
                <w:sz w:val="24"/>
                <w:szCs w:val="16"/>
              </w:rPr>
              <w:tab/>
            </w:r>
            <w:r w:rsidR="00E07596">
              <w:rPr>
                <w:sz w:val="24"/>
                <w:szCs w:val="16"/>
              </w:rPr>
              <w:fldChar w:fldCharType="begin"/>
            </w:r>
            <w:r w:rsidR="00E07596">
              <w:rPr>
                <w:sz w:val="24"/>
                <w:szCs w:val="16"/>
              </w:rPr>
              <w:instrText xml:space="preserve"> PAGEREF _Toc22614 \h </w:instrText>
            </w:r>
            <w:r w:rsidR="00E07596">
              <w:rPr>
                <w:sz w:val="24"/>
                <w:szCs w:val="16"/>
              </w:rPr>
            </w:r>
            <w:r w:rsidR="00E07596">
              <w:rPr>
                <w:sz w:val="24"/>
                <w:szCs w:val="16"/>
              </w:rPr>
              <w:fldChar w:fldCharType="separate"/>
            </w:r>
            <w:r w:rsidR="00087601">
              <w:rPr>
                <w:noProof/>
                <w:sz w:val="24"/>
                <w:szCs w:val="16"/>
              </w:rPr>
              <w:t>- 28 -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3374" w:history="1">
            <w:r w:rsidR="00E07596">
              <w:rPr>
                <w:rFonts w:ascii="楷体" w:eastAsia="楷体" w:hAnsi="楷体" w:cs="楷体" w:hint="eastAsia"/>
                <w:sz w:val="24"/>
                <w:szCs w:val="21"/>
              </w:rPr>
              <w:t>（三）外部评价</w:t>
            </w:r>
            <w:r w:rsidR="00E07596">
              <w:rPr>
                <w:sz w:val="24"/>
                <w:szCs w:val="16"/>
              </w:rPr>
              <w:tab/>
            </w:r>
            <w:r w:rsidR="00E07596">
              <w:rPr>
                <w:sz w:val="24"/>
                <w:szCs w:val="16"/>
              </w:rPr>
              <w:fldChar w:fldCharType="begin"/>
            </w:r>
            <w:r w:rsidR="00E07596">
              <w:rPr>
                <w:sz w:val="24"/>
                <w:szCs w:val="16"/>
              </w:rPr>
              <w:instrText xml:space="preserve"> PAGEREF _Toc3374 \h </w:instrText>
            </w:r>
            <w:r w:rsidR="00E07596">
              <w:rPr>
                <w:sz w:val="24"/>
                <w:szCs w:val="16"/>
              </w:rPr>
            </w:r>
            <w:r w:rsidR="00E07596">
              <w:rPr>
                <w:sz w:val="24"/>
                <w:szCs w:val="16"/>
              </w:rPr>
              <w:fldChar w:fldCharType="separate"/>
            </w:r>
            <w:r w:rsidR="00087601">
              <w:rPr>
                <w:noProof/>
                <w:sz w:val="24"/>
                <w:szCs w:val="16"/>
              </w:rPr>
              <w:t>- 31 -</w:t>
            </w:r>
            <w:r w:rsidR="00E07596">
              <w:rPr>
                <w:sz w:val="24"/>
                <w:szCs w:val="16"/>
              </w:rPr>
              <w:fldChar w:fldCharType="end"/>
            </w:r>
          </w:hyperlink>
        </w:p>
        <w:p w:rsidR="00A910F8" w:rsidRDefault="00014399">
          <w:pPr>
            <w:pStyle w:val="10"/>
            <w:tabs>
              <w:tab w:val="right" w:leader="dot" w:pos="8845"/>
            </w:tabs>
            <w:rPr>
              <w:sz w:val="24"/>
              <w:szCs w:val="16"/>
            </w:rPr>
          </w:pPr>
          <w:hyperlink w:anchor="_Toc13105" w:history="1">
            <w:r w:rsidR="00E07596">
              <w:rPr>
                <w:rFonts w:ascii="楷体" w:eastAsia="楷体" w:hAnsi="楷体" w:cs="楷体" w:hint="eastAsia"/>
                <w:sz w:val="24"/>
                <w:szCs w:val="22"/>
              </w:rPr>
              <w:t>六、特色发展与案例：</w:t>
            </w:r>
            <w:r w:rsidR="00E07596">
              <w:rPr>
                <w:rFonts w:ascii="楷体" w:eastAsia="楷体" w:hAnsi="楷体" w:cs="楷体" w:hint="eastAsia"/>
                <w:bCs/>
                <w:kern w:val="0"/>
                <w:sz w:val="24"/>
                <w:szCs w:val="22"/>
              </w:rPr>
              <w:t>《国际商务谈判》入选国家级一流本科课程</w:t>
            </w:r>
            <w:r w:rsidR="00E07596">
              <w:rPr>
                <w:sz w:val="24"/>
                <w:szCs w:val="16"/>
              </w:rPr>
              <w:tab/>
            </w:r>
            <w:r w:rsidR="00E07596">
              <w:rPr>
                <w:sz w:val="24"/>
                <w:szCs w:val="16"/>
              </w:rPr>
              <w:fldChar w:fldCharType="begin"/>
            </w:r>
            <w:r w:rsidR="00E07596">
              <w:rPr>
                <w:sz w:val="24"/>
                <w:szCs w:val="16"/>
              </w:rPr>
              <w:instrText xml:space="preserve"> PAGEREF _Toc13105 \h </w:instrText>
            </w:r>
            <w:r w:rsidR="00E07596">
              <w:rPr>
                <w:sz w:val="24"/>
                <w:szCs w:val="16"/>
              </w:rPr>
            </w:r>
            <w:r w:rsidR="00E07596">
              <w:rPr>
                <w:sz w:val="24"/>
                <w:szCs w:val="16"/>
              </w:rPr>
              <w:fldChar w:fldCharType="separate"/>
            </w:r>
            <w:r w:rsidR="00087601">
              <w:rPr>
                <w:noProof/>
                <w:sz w:val="24"/>
                <w:szCs w:val="16"/>
              </w:rPr>
              <w:t>- 33 -</w:t>
            </w:r>
            <w:r w:rsidR="00E07596">
              <w:rPr>
                <w:sz w:val="24"/>
                <w:szCs w:val="16"/>
              </w:rPr>
              <w:fldChar w:fldCharType="end"/>
            </w:r>
          </w:hyperlink>
        </w:p>
        <w:p w:rsidR="00A910F8" w:rsidRDefault="00014399">
          <w:pPr>
            <w:pStyle w:val="10"/>
            <w:tabs>
              <w:tab w:val="right" w:leader="dot" w:pos="8845"/>
            </w:tabs>
            <w:rPr>
              <w:sz w:val="24"/>
              <w:szCs w:val="16"/>
            </w:rPr>
          </w:pPr>
          <w:hyperlink w:anchor="_Toc25783" w:history="1">
            <w:r w:rsidR="00E07596">
              <w:rPr>
                <w:rFonts w:ascii="楷体" w:eastAsia="楷体" w:hAnsi="楷体" w:cs="楷体" w:hint="eastAsia"/>
                <w:sz w:val="24"/>
                <w:szCs w:val="22"/>
              </w:rPr>
              <w:t>七、问题与对策</w:t>
            </w:r>
            <w:r w:rsidR="00E07596">
              <w:rPr>
                <w:sz w:val="24"/>
                <w:szCs w:val="16"/>
              </w:rPr>
              <w:tab/>
            </w:r>
            <w:r w:rsidR="00E07596">
              <w:rPr>
                <w:sz w:val="24"/>
                <w:szCs w:val="16"/>
              </w:rPr>
              <w:fldChar w:fldCharType="begin"/>
            </w:r>
            <w:r w:rsidR="00E07596">
              <w:rPr>
                <w:sz w:val="24"/>
                <w:szCs w:val="16"/>
              </w:rPr>
              <w:instrText xml:space="preserve"> PAGEREF _Toc25783 \h </w:instrText>
            </w:r>
            <w:r w:rsidR="00E07596">
              <w:rPr>
                <w:sz w:val="24"/>
                <w:szCs w:val="16"/>
              </w:rPr>
            </w:r>
            <w:r w:rsidR="00E07596">
              <w:rPr>
                <w:sz w:val="24"/>
                <w:szCs w:val="16"/>
              </w:rPr>
              <w:fldChar w:fldCharType="separate"/>
            </w:r>
            <w:r w:rsidR="00087601">
              <w:rPr>
                <w:noProof/>
                <w:sz w:val="24"/>
                <w:szCs w:val="16"/>
              </w:rPr>
              <w:t>- 34 -</w:t>
            </w:r>
            <w:r w:rsidR="00E07596">
              <w:rPr>
                <w:sz w:val="24"/>
                <w:szCs w:val="16"/>
              </w:rPr>
              <w:fldChar w:fldCharType="end"/>
            </w:r>
          </w:hyperlink>
        </w:p>
        <w:p w:rsidR="00A910F8" w:rsidRDefault="00014399" w:rsidP="00D02887">
          <w:pPr>
            <w:pStyle w:val="20"/>
            <w:tabs>
              <w:tab w:val="right" w:leader="dot" w:pos="8845"/>
            </w:tabs>
            <w:ind w:left="632"/>
            <w:rPr>
              <w:sz w:val="24"/>
              <w:szCs w:val="16"/>
            </w:rPr>
          </w:pPr>
          <w:hyperlink w:anchor="_Toc20965" w:history="1">
            <w:r w:rsidR="00E07596">
              <w:rPr>
                <w:rFonts w:ascii="楷体" w:eastAsia="楷体" w:hAnsi="楷体" w:cs="楷体" w:hint="eastAsia"/>
                <w:sz w:val="24"/>
                <w:szCs w:val="21"/>
              </w:rPr>
              <w:t>（一）存在的问题</w:t>
            </w:r>
            <w:r w:rsidR="00E07596">
              <w:rPr>
                <w:sz w:val="24"/>
                <w:szCs w:val="16"/>
              </w:rPr>
              <w:tab/>
            </w:r>
            <w:r w:rsidR="00E07596">
              <w:rPr>
                <w:sz w:val="24"/>
                <w:szCs w:val="16"/>
              </w:rPr>
              <w:fldChar w:fldCharType="begin"/>
            </w:r>
            <w:r w:rsidR="00E07596">
              <w:rPr>
                <w:sz w:val="24"/>
                <w:szCs w:val="16"/>
              </w:rPr>
              <w:instrText xml:space="preserve"> PAGEREF _Toc20965 \h </w:instrText>
            </w:r>
            <w:r w:rsidR="00E07596">
              <w:rPr>
                <w:sz w:val="24"/>
                <w:szCs w:val="16"/>
              </w:rPr>
            </w:r>
            <w:r w:rsidR="00E07596">
              <w:rPr>
                <w:sz w:val="24"/>
                <w:szCs w:val="16"/>
              </w:rPr>
              <w:fldChar w:fldCharType="separate"/>
            </w:r>
            <w:r w:rsidR="00087601">
              <w:rPr>
                <w:noProof/>
                <w:sz w:val="24"/>
                <w:szCs w:val="16"/>
              </w:rPr>
              <w:t>- 34 -</w:t>
            </w:r>
            <w:r w:rsidR="00E07596">
              <w:rPr>
                <w:sz w:val="24"/>
                <w:szCs w:val="16"/>
              </w:rPr>
              <w:fldChar w:fldCharType="end"/>
            </w:r>
          </w:hyperlink>
        </w:p>
        <w:p w:rsidR="00A910F8" w:rsidRDefault="00014399" w:rsidP="00D02887">
          <w:pPr>
            <w:pStyle w:val="20"/>
            <w:tabs>
              <w:tab w:val="right" w:leader="dot" w:pos="8845"/>
            </w:tabs>
            <w:ind w:left="632"/>
            <w:rPr>
              <w:rFonts w:ascii="楷体" w:eastAsia="楷体" w:hAnsi="楷体" w:cs="楷体"/>
              <w:sz w:val="22"/>
              <w:szCs w:val="15"/>
            </w:rPr>
          </w:pPr>
          <w:hyperlink w:anchor="_Toc32718" w:history="1">
            <w:r w:rsidR="00E07596">
              <w:rPr>
                <w:rFonts w:ascii="楷体" w:eastAsia="楷体" w:hAnsi="楷体" w:cs="楷体" w:hint="eastAsia"/>
                <w:sz w:val="24"/>
                <w:szCs w:val="21"/>
              </w:rPr>
              <w:t>（二）发展建议</w:t>
            </w:r>
            <w:r w:rsidR="00E07596">
              <w:rPr>
                <w:sz w:val="24"/>
                <w:szCs w:val="16"/>
              </w:rPr>
              <w:tab/>
            </w:r>
            <w:r w:rsidR="00E07596">
              <w:rPr>
                <w:sz w:val="24"/>
                <w:szCs w:val="16"/>
              </w:rPr>
              <w:fldChar w:fldCharType="begin"/>
            </w:r>
            <w:r w:rsidR="00E07596">
              <w:rPr>
                <w:sz w:val="24"/>
                <w:szCs w:val="16"/>
              </w:rPr>
              <w:instrText xml:space="preserve"> PAGEREF _Toc32718 \h </w:instrText>
            </w:r>
            <w:r w:rsidR="00E07596">
              <w:rPr>
                <w:sz w:val="24"/>
                <w:szCs w:val="16"/>
              </w:rPr>
            </w:r>
            <w:r w:rsidR="00E07596">
              <w:rPr>
                <w:sz w:val="24"/>
                <w:szCs w:val="16"/>
              </w:rPr>
              <w:fldChar w:fldCharType="separate"/>
            </w:r>
            <w:r w:rsidR="00087601">
              <w:rPr>
                <w:noProof/>
                <w:sz w:val="24"/>
                <w:szCs w:val="16"/>
              </w:rPr>
              <w:t>- 35 -</w:t>
            </w:r>
            <w:r w:rsidR="00E07596">
              <w:rPr>
                <w:sz w:val="24"/>
                <w:szCs w:val="16"/>
              </w:rPr>
              <w:fldChar w:fldCharType="end"/>
            </w:r>
          </w:hyperlink>
          <w:r w:rsidR="00E07596">
            <w:rPr>
              <w:rFonts w:ascii="楷体" w:eastAsia="楷体" w:hAnsi="楷体" w:cs="楷体" w:hint="eastAsia"/>
              <w:sz w:val="28"/>
              <w:szCs w:val="15"/>
            </w:rPr>
            <w:fldChar w:fldCharType="end"/>
          </w:r>
        </w:p>
      </w:sdtContent>
    </w:sdt>
    <w:p w:rsidR="00A910F8" w:rsidRDefault="00A910F8">
      <w:pPr>
        <w:pStyle w:val="1"/>
        <w:rPr>
          <w:rFonts w:ascii="楷体" w:eastAsia="楷体" w:hAnsi="楷体" w:cs="楷体"/>
          <w:sz w:val="21"/>
          <w:szCs w:val="21"/>
        </w:rPr>
        <w:sectPr w:rsidR="00A910F8">
          <w:footerReference w:type="default" r:id="rId10"/>
          <w:pgSz w:w="11907" w:h="16840"/>
          <w:pgMar w:top="940" w:right="1531" w:bottom="2041" w:left="1531" w:header="851" w:footer="1588" w:gutter="0"/>
          <w:pgNumType w:fmt="numberInDash" w:start="1"/>
          <w:cols w:space="720"/>
          <w:docGrid w:type="linesAndChars" w:linePitch="579" w:charSpace="-842"/>
        </w:sectPr>
      </w:pPr>
    </w:p>
    <w:p w:rsidR="00A910F8" w:rsidRDefault="00E07596">
      <w:pPr>
        <w:pStyle w:val="1"/>
        <w:spacing w:before="20" w:after="20" w:line="360" w:lineRule="auto"/>
        <w:rPr>
          <w:rFonts w:ascii="楷体" w:eastAsia="楷体" w:hAnsi="楷体" w:cs="楷体"/>
          <w:sz w:val="28"/>
          <w:szCs w:val="28"/>
        </w:rPr>
      </w:pPr>
      <w:bookmarkStart w:id="1" w:name="_Toc32105"/>
      <w:r>
        <w:rPr>
          <w:rFonts w:ascii="楷体" w:eastAsia="楷体" w:hAnsi="楷体" w:cs="楷体" w:hint="eastAsia"/>
          <w:sz w:val="28"/>
          <w:szCs w:val="28"/>
        </w:rPr>
        <w:lastRenderedPageBreak/>
        <w:t>一、专业基本概况</w:t>
      </w:r>
      <w:bookmarkEnd w:id="1"/>
    </w:p>
    <w:p w:rsidR="00A910F8" w:rsidRDefault="00E07596">
      <w:pPr>
        <w:pStyle w:val="2"/>
        <w:spacing w:before="20" w:after="20" w:line="240" w:lineRule="auto"/>
        <w:rPr>
          <w:rFonts w:ascii="楷体" w:eastAsia="楷体" w:hAnsi="楷体" w:cs="楷体"/>
          <w:sz w:val="24"/>
          <w:szCs w:val="24"/>
        </w:rPr>
      </w:pPr>
      <w:bookmarkStart w:id="2" w:name="_Toc263"/>
      <w:r>
        <w:rPr>
          <w:rFonts w:ascii="楷体" w:eastAsia="楷体" w:hAnsi="楷体" w:cs="楷体" w:hint="eastAsia"/>
          <w:sz w:val="24"/>
          <w:szCs w:val="24"/>
        </w:rPr>
        <w:t>（一）专业概况</w:t>
      </w:r>
      <w:bookmarkEnd w:id="2"/>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国际经济与贸易专业自2004年成立以来，经过16年的发展，在学科专业建设、人才培养、科学研究、服务社会方面取得了较好成绩。国际经济与贸易学科2004年立项校级重点学科，2005年开放经济与贸易学科入选市级重点学科。2005年，以国际经济与贸易专业为核心的专业群立项上海市外贸经济本科教育高地建设项目，成为首批竞争性上海市十大本科教育高地之一。2011年，本专业再次入选第四批上海市外贸经济本科教育高地。2014年，通过上海高校本科专业达标评估，评估结果为优秀。2017年，入选第三批上海市属高校应用型本科试点专业和上海高校示范性全英语专业。2020年，入选首批国家一流本科专业建设点，2021年通过长三角新文科专业认证联盟自主专业认证。</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国际经济与贸易专业生源来自全国30个省市自治区，生源数量较为充足，质量较高。本专业面向全国由上海立信会计金融学院统一按经济学大类招生，入学后再分为经济学和国际经济与贸易专业。近三年年计划招生350人左右。 截至2020年11月，本专业共有在籍学生679 人。2020年，本专业除北京、天津、西藏、港澳台之外的所有省份均有招生，除上海本地之外，其余招生比较多的地区包括安徽、贵州、四川、广西、山西、河南、甘肃等省。近三年的录取分数线均超过本省省控分数线84分以上，第一志愿录取比例在39.27%，详见表1-1。</w:t>
      </w:r>
    </w:p>
    <w:p w:rsidR="00A910F8" w:rsidRDefault="00E07596">
      <w:pPr>
        <w:widowControl/>
        <w:adjustRightInd w:val="0"/>
        <w:snapToGrid w:val="0"/>
        <w:spacing w:line="500" w:lineRule="exact"/>
        <w:ind w:rightChars="50" w:right="158" w:firstLine="200"/>
        <w:jc w:val="center"/>
        <w:rPr>
          <w:rFonts w:ascii="楷体" w:eastAsia="楷体" w:hAnsi="楷体" w:cs="楷体"/>
          <w:b/>
          <w:kern w:val="0"/>
          <w:sz w:val="24"/>
          <w:szCs w:val="24"/>
        </w:rPr>
      </w:pPr>
      <w:r>
        <w:rPr>
          <w:rFonts w:ascii="楷体" w:eastAsia="楷体" w:hAnsi="楷体" w:cs="楷体" w:hint="eastAsia"/>
          <w:b/>
          <w:kern w:val="0"/>
          <w:sz w:val="24"/>
          <w:szCs w:val="24"/>
        </w:rPr>
        <w:t>表1-1近3年招生分数线与第一志愿录取比例</w:t>
      </w:r>
    </w:p>
    <w:tbl>
      <w:tblPr>
        <w:tblW w:w="4974" w:type="pct"/>
        <w:jc w:val="center"/>
        <w:tblCellMar>
          <w:left w:w="0" w:type="dxa"/>
          <w:right w:w="0" w:type="dxa"/>
        </w:tblCellMar>
        <w:tblLook w:val="04A0" w:firstRow="1" w:lastRow="0" w:firstColumn="1" w:lastColumn="0" w:noHBand="0" w:noVBand="1"/>
      </w:tblPr>
      <w:tblGrid>
        <w:gridCol w:w="1422"/>
        <w:gridCol w:w="1282"/>
        <w:gridCol w:w="4484"/>
        <w:gridCol w:w="1826"/>
      </w:tblGrid>
      <w:tr w:rsidR="00A910F8">
        <w:trPr>
          <w:trHeight w:val="550"/>
          <w:jc w:val="center"/>
        </w:trPr>
        <w:tc>
          <w:tcPr>
            <w:tcW w:w="788" w:type="pct"/>
            <w:tcBorders>
              <w:top w:val="single" w:sz="8" w:space="0" w:color="000000"/>
              <w:left w:val="single" w:sz="8" w:space="0" w:color="000000"/>
              <w:bottom w:val="outset" w:sz="6" w:space="0" w:color="000000"/>
              <w:right w:val="single" w:sz="8" w:space="0" w:color="000000"/>
            </w:tcBorders>
            <w:shd w:val="clear" w:color="auto" w:fill="E7E6E6" w:themeFill="background2"/>
            <w:tcMar>
              <w:top w:w="0" w:type="dxa"/>
              <w:left w:w="108" w:type="dxa"/>
              <w:bottom w:w="0" w:type="dxa"/>
              <w:right w:w="108" w:type="dxa"/>
            </w:tcMar>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年份</w:t>
            </w:r>
          </w:p>
        </w:tc>
        <w:tc>
          <w:tcPr>
            <w:tcW w:w="711" w:type="pct"/>
            <w:tcBorders>
              <w:top w:val="single" w:sz="8" w:space="0" w:color="000000"/>
              <w:left w:val="outset" w:sz="6" w:space="0" w:color="000000"/>
              <w:bottom w:val="outset" w:sz="6" w:space="0" w:color="000000"/>
              <w:right w:val="single" w:sz="8" w:space="0" w:color="000000"/>
            </w:tcBorders>
            <w:shd w:val="clear" w:color="auto" w:fill="E7E6E6" w:themeFill="background2"/>
            <w:tcMar>
              <w:top w:w="0" w:type="dxa"/>
              <w:left w:w="108" w:type="dxa"/>
              <w:bottom w:w="0" w:type="dxa"/>
              <w:right w:w="108" w:type="dxa"/>
            </w:tcMar>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招生数</w:t>
            </w:r>
          </w:p>
        </w:tc>
        <w:tc>
          <w:tcPr>
            <w:tcW w:w="2486" w:type="pct"/>
            <w:tcBorders>
              <w:top w:val="single" w:sz="8" w:space="0" w:color="000000"/>
              <w:left w:val="outset" w:sz="6" w:space="0" w:color="000000"/>
              <w:bottom w:val="outset" w:sz="6" w:space="0" w:color="000000"/>
              <w:right w:val="single" w:sz="8" w:space="0" w:color="000000"/>
            </w:tcBorders>
            <w:shd w:val="clear" w:color="auto" w:fill="E7E6E6" w:themeFill="background2"/>
            <w:tcMar>
              <w:top w:w="0" w:type="dxa"/>
              <w:left w:w="108" w:type="dxa"/>
              <w:bottom w:w="0" w:type="dxa"/>
              <w:right w:w="108" w:type="dxa"/>
            </w:tcMar>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本省录取分与本专业分数线比较</w:t>
            </w:r>
          </w:p>
        </w:tc>
        <w:tc>
          <w:tcPr>
            <w:tcW w:w="1013" w:type="pct"/>
            <w:tcBorders>
              <w:top w:val="single" w:sz="8" w:space="0" w:color="000000"/>
              <w:left w:val="outset" w:sz="6" w:space="0" w:color="000000"/>
              <w:bottom w:val="outset" w:sz="6" w:space="0" w:color="000000"/>
              <w:right w:val="single" w:sz="8" w:space="0" w:color="000000"/>
            </w:tcBorders>
            <w:shd w:val="clear" w:color="auto" w:fill="E7E6E6" w:themeFill="background2"/>
            <w:tcMar>
              <w:top w:w="0" w:type="dxa"/>
              <w:left w:w="108" w:type="dxa"/>
              <w:bottom w:w="0" w:type="dxa"/>
              <w:right w:w="108" w:type="dxa"/>
            </w:tcMar>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第一志愿录取</w:t>
            </w:r>
          </w:p>
          <w:p w:rsidR="00A910F8" w:rsidRDefault="00E07596">
            <w:pPr>
              <w:pStyle w:val="a9"/>
              <w:jc w:val="center"/>
              <w:rPr>
                <w:rFonts w:ascii="楷体" w:eastAsia="楷体" w:hAnsi="楷体" w:cs="楷体"/>
                <w:sz w:val="24"/>
              </w:rPr>
            </w:pPr>
            <w:r>
              <w:rPr>
                <w:rFonts w:ascii="楷体" w:eastAsia="楷体" w:hAnsi="楷体" w:cs="楷体" w:hint="eastAsia"/>
                <w:sz w:val="24"/>
              </w:rPr>
              <w:t>比例</w:t>
            </w:r>
          </w:p>
        </w:tc>
      </w:tr>
      <w:tr w:rsidR="00A910F8">
        <w:trPr>
          <w:trHeight w:val="550"/>
          <w:jc w:val="center"/>
        </w:trPr>
        <w:tc>
          <w:tcPr>
            <w:tcW w:w="1421"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tcPr>
          <w:p w:rsidR="00A910F8" w:rsidRDefault="00E07596">
            <w:pPr>
              <w:pStyle w:val="a9"/>
              <w:jc w:val="center"/>
              <w:rPr>
                <w:rFonts w:ascii="楷体" w:eastAsia="楷体" w:hAnsi="楷体" w:cs="楷体"/>
                <w:sz w:val="24"/>
              </w:rPr>
            </w:pPr>
            <w:r>
              <w:rPr>
                <w:rFonts w:ascii="楷体" w:eastAsia="楷体" w:hAnsi="楷体" w:cs="楷体" w:hint="eastAsia"/>
                <w:sz w:val="24"/>
              </w:rPr>
              <w:t>2019</w:t>
            </w:r>
          </w:p>
        </w:tc>
        <w:tc>
          <w:tcPr>
            <w:tcW w:w="1282"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A910F8" w:rsidRDefault="00E07596">
            <w:pPr>
              <w:pStyle w:val="a9"/>
              <w:jc w:val="center"/>
              <w:rPr>
                <w:rFonts w:ascii="楷体" w:eastAsia="楷体" w:hAnsi="楷体" w:cs="楷体"/>
                <w:sz w:val="24"/>
              </w:rPr>
            </w:pPr>
            <w:r>
              <w:rPr>
                <w:rFonts w:ascii="楷体" w:eastAsia="楷体" w:hAnsi="楷体" w:cs="楷体" w:hint="eastAsia"/>
                <w:sz w:val="24"/>
              </w:rPr>
              <w:t>341</w:t>
            </w:r>
          </w:p>
        </w:tc>
        <w:tc>
          <w:tcPr>
            <w:tcW w:w="4484"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A910F8" w:rsidRDefault="00E07596">
            <w:pPr>
              <w:pStyle w:val="a9"/>
              <w:jc w:val="center"/>
              <w:rPr>
                <w:rFonts w:ascii="楷体" w:eastAsia="楷体" w:hAnsi="楷体" w:cs="楷体"/>
                <w:sz w:val="24"/>
              </w:rPr>
            </w:pPr>
            <w:r>
              <w:rPr>
                <w:rFonts w:ascii="楷体" w:eastAsia="楷体" w:hAnsi="楷体" w:cs="楷体" w:hint="eastAsia"/>
                <w:sz w:val="24"/>
              </w:rPr>
              <w:t>平均录取分数高出上海市省控线92分</w:t>
            </w:r>
          </w:p>
        </w:tc>
        <w:tc>
          <w:tcPr>
            <w:tcW w:w="1827"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A910F8" w:rsidRDefault="00E07596">
            <w:pPr>
              <w:pStyle w:val="a9"/>
              <w:jc w:val="center"/>
              <w:rPr>
                <w:rFonts w:ascii="楷体" w:eastAsia="楷体" w:hAnsi="楷体" w:cs="楷体"/>
                <w:sz w:val="24"/>
              </w:rPr>
            </w:pPr>
            <w:r>
              <w:rPr>
                <w:rFonts w:ascii="楷体" w:eastAsia="楷体" w:hAnsi="楷体" w:cs="楷体" w:hint="eastAsia"/>
                <w:sz w:val="24"/>
              </w:rPr>
              <w:t>42.30%</w:t>
            </w:r>
          </w:p>
        </w:tc>
      </w:tr>
      <w:tr w:rsidR="00A910F8">
        <w:trPr>
          <w:trHeight w:val="545"/>
          <w:jc w:val="center"/>
        </w:trPr>
        <w:tc>
          <w:tcPr>
            <w:tcW w:w="1421"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tcPr>
          <w:p w:rsidR="00A910F8" w:rsidRDefault="00E07596">
            <w:pPr>
              <w:pStyle w:val="a9"/>
              <w:jc w:val="center"/>
              <w:rPr>
                <w:rFonts w:ascii="楷体" w:eastAsia="楷体" w:hAnsi="楷体" w:cs="楷体"/>
                <w:sz w:val="24"/>
              </w:rPr>
            </w:pPr>
            <w:r>
              <w:rPr>
                <w:rFonts w:ascii="楷体" w:eastAsia="楷体" w:hAnsi="楷体" w:cs="楷体" w:hint="eastAsia"/>
                <w:sz w:val="24"/>
              </w:rPr>
              <w:t>2020</w:t>
            </w:r>
          </w:p>
        </w:tc>
        <w:tc>
          <w:tcPr>
            <w:tcW w:w="1282"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A910F8" w:rsidRDefault="00E07596">
            <w:pPr>
              <w:pStyle w:val="a9"/>
              <w:jc w:val="center"/>
              <w:rPr>
                <w:rFonts w:ascii="楷体" w:eastAsia="楷体" w:hAnsi="楷体" w:cs="楷体"/>
                <w:sz w:val="24"/>
              </w:rPr>
            </w:pPr>
            <w:r>
              <w:rPr>
                <w:rFonts w:ascii="楷体" w:eastAsia="楷体" w:hAnsi="楷体" w:cs="楷体" w:hint="eastAsia"/>
                <w:sz w:val="24"/>
              </w:rPr>
              <w:t>331</w:t>
            </w:r>
          </w:p>
        </w:tc>
        <w:tc>
          <w:tcPr>
            <w:tcW w:w="4484"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A910F8" w:rsidRDefault="00E07596">
            <w:pPr>
              <w:pStyle w:val="a9"/>
              <w:jc w:val="center"/>
              <w:rPr>
                <w:rFonts w:ascii="楷体" w:eastAsia="楷体" w:hAnsi="楷体" w:cs="楷体"/>
                <w:sz w:val="24"/>
              </w:rPr>
            </w:pPr>
            <w:r>
              <w:rPr>
                <w:rFonts w:ascii="楷体" w:eastAsia="楷体" w:hAnsi="楷体" w:cs="楷体" w:hint="eastAsia"/>
                <w:sz w:val="24"/>
              </w:rPr>
              <w:t>专业平均录取分数高出上海市省控线84分</w:t>
            </w:r>
          </w:p>
        </w:tc>
        <w:tc>
          <w:tcPr>
            <w:tcW w:w="1827"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A910F8" w:rsidRDefault="00E07596">
            <w:pPr>
              <w:pStyle w:val="a9"/>
              <w:jc w:val="center"/>
              <w:rPr>
                <w:rFonts w:ascii="楷体" w:eastAsia="楷体" w:hAnsi="楷体" w:cs="楷体"/>
                <w:sz w:val="24"/>
              </w:rPr>
            </w:pPr>
            <w:r>
              <w:rPr>
                <w:rFonts w:ascii="楷体" w:eastAsia="楷体" w:hAnsi="楷体" w:cs="楷体" w:hint="eastAsia"/>
                <w:sz w:val="24"/>
              </w:rPr>
              <w:t>39.27%</w:t>
            </w:r>
          </w:p>
        </w:tc>
      </w:tr>
      <w:tr w:rsidR="00A910F8">
        <w:trPr>
          <w:trHeight w:val="414"/>
          <w:jc w:val="center"/>
        </w:trPr>
        <w:tc>
          <w:tcPr>
            <w:tcW w:w="788" w:type="pct"/>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A910F8" w:rsidRDefault="00E07596">
            <w:pPr>
              <w:pStyle w:val="a9"/>
              <w:jc w:val="center"/>
              <w:rPr>
                <w:rFonts w:ascii="楷体" w:eastAsia="楷体" w:hAnsi="楷体" w:cs="楷体"/>
                <w:sz w:val="24"/>
              </w:rPr>
            </w:pPr>
            <w:r>
              <w:rPr>
                <w:rFonts w:ascii="楷体" w:eastAsia="楷体" w:hAnsi="楷体" w:cs="楷体" w:hint="eastAsia"/>
                <w:sz w:val="24"/>
              </w:rPr>
              <w:t>2021</w:t>
            </w:r>
          </w:p>
        </w:tc>
        <w:tc>
          <w:tcPr>
            <w:tcW w:w="711" w:type="pct"/>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A910F8" w:rsidRDefault="00E07596">
            <w:pPr>
              <w:pStyle w:val="a9"/>
              <w:jc w:val="center"/>
              <w:rPr>
                <w:rFonts w:ascii="楷体" w:eastAsia="楷体" w:hAnsi="楷体" w:cs="楷体"/>
                <w:sz w:val="24"/>
              </w:rPr>
            </w:pPr>
            <w:r>
              <w:rPr>
                <w:rFonts w:ascii="楷体" w:eastAsia="楷体" w:hAnsi="楷体" w:cs="楷体" w:hint="eastAsia"/>
                <w:sz w:val="24"/>
              </w:rPr>
              <w:t>320</w:t>
            </w:r>
          </w:p>
        </w:tc>
        <w:tc>
          <w:tcPr>
            <w:tcW w:w="2486" w:type="pct"/>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A910F8" w:rsidRDefault="00E07596">
            <w:pPr>
              <w:pStyle w:val="a9"/>
              <w:jc w:val="center"/>
              <w:rPr>
                <w:rFonts w:ascii="楷体" w:eastAsia="楷体" w:hAnsi="楷体" w:cs="楷体"/>
                <w:sz w:val="24"/>
              </w:rPr>
            </w:pPr>
            <w:r>
              <w:rPr>
                <w:rFonts w:ascii="楷体" w:eastAsia="楷体" w:hAnsi="楷体" w:cs="楷体" w:hint="eastAsia"/>
                <w:sz w:val="24"/>
              </w:rPr>
              <w:t>专业平均录取分数高出上海市省控线81分</w:t>
            </w:r>
          </w:p>
        </w:tc>
        <w:tc>
          <w:tcPr>
            <w:tcW w:w="1013" w:type="pct"/>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A910F8" w:rsidRDefault="00E07596">
            <w:pPr>
              <w:pStyle w:val="a9"/>
              <w:jc w:val="center"/>
              <w:rPr>
                <w:rFonts w:ascii="楷体" w:eastAsia="楷体" w:hAnsi="楷体" w:cs="楷体"/>
                <w:sz w:val="24"/>
              </w:rPr>
            </w:pPr>
            <w:r>
              <w:rPr>
                <w:rFonts w:ascii="楷体" w:eastAsia="楷体" w:hAnsi="楷体" w:cs="楷体" w:hint="eastAsia"/>
                <w:sz w:val="24"/>
              </w:rPr>
              <w:t>55.59%</w:t>
            </w:r>
          </w:p>
        </w:tc>
      </w:tr>
    </w:tbl>
    <w:p w:rsidR="00A910F8" w:rsidRDefault="00E07596">
      <w:pPr>
        <w:pStyle w:val="2"/>
        <w:spacing w:before="20" w:after="20" w:line="240" w:lineRule="auto"/>
        <w:rPr>
          <w:rFonts w:ascii="楷体" w:eastAsia="楷体" w:hAnsi="楷体" w:cs="楷体"/>
          <w:sz w:val="28"/>
          <w:szCs w:val="28"/>
        </w:rPr>
      </w:pPr>
      <w:bookmarkStart w:id="3" w:name="_Toc23672"/>
      <w:r>
        <w:rPr>
          <w:rFonts w:ascii="楷体" w:eastAsia="楷体" w:hAnsi="楷体" w:cs="楷体" w:hint="eastAsia"/>
          <w:sz w:val="28"/>
          <w:szCs w:val="28"/>
        </w:rPr>
        <w:lastRenderedPageBreak/>
        <w:t>（二）专业人才培养目标和培养模式</w:t>
      </w:r>
      <w:bookmarkEnd w:id="3"/>
    </w:p>
    <w:p w:rsidR="00A910F8" w:rsidRDefault="00E07596" w:rsidP="00D02887">
      <w:pPr>
        <w:widowControl/>
        <w:spacing w:line="500" w:lineRule="exact"/>
        <w:ind w:firstLineChars="200" w:firstLine="474"/>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1.专业人才培养目标</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本专业面向中华民族伟大复兴的目标，面向中国社会主义经济双循环的新发展格局，服务上海“五个中心”、中国（上海）自由贸易试验区建设以及长三角区域一体化发展需求，对接全球政治经济新格局和新文科发展新要求，旨在培养德智体美劳全面发展的，系统掌握国际经济与贸易专业基础知识、基本理论和分析方法，了解国际经济与贸易领域前沿理论，并且通晓国际经贸通行规则、法律与惯例的，具备较强的实践应用能力、团队合作精神和国际化视野的，创新意识及创新实践能力突出的，能在政府或企事业单位的涉外部门，胜任国际贸易、投融资等相关战略规划、商务运营、商事沟通与企业管理工作的高素质复合型应用人才。</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经过本科阶段培养，国际经济与贸易专业毕业生及毕业五年后能够达到以下目标：</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培养目标G1：具备诚信品质、良好的思想道德修养、健康的体魄和健全的心理素质，能够在国内外经济与贸易活动中遵守职业操守，践行社会主义核心价值观。</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培养目标G2：具备扎实的经济学理论基础知识，掌握本专业的基本理论、分析方法和发展前沿，掌握现代信息技术和分析工具，具备从事经济贸易理论研究的基本技能。</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培养目标G3：具备较强的国际贸易实务操作技能、具备国际视野和跨文化商务交流和沟通能力。</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培养目标G4：具有较强的创新创业精神、团队协作和管理能力，成为国际经济与贸易或相关领域的骨干人才。</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培养目标G5：具有自主学习和终身学习的意识，不断提升职业能力，为职业生涯进一步发展打下良好基础。</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在上述培养目标框架下，国际经济与贸易专业设置了国际化班，突出国际商务运营管理能力和全球治理能力的培养。国际化班突出全英语特色，专业课平台的长学段必修课以全英语课程为主，突出经济学和管理学学科的交叉融合，注重培养学生的跨文化沟通能力、国际商务谈判能力、国际商务运作能力和国际商务分析决策能力；国</w:t>
      </w:r>
      <w:r>
        <w:rPr>
          <w:rFonts w:ascii="楷体" w:eastAsia="楷体" w:hAnsi="楷体" w:cs="楷体" w:hint="eastAsia"/>
          <w:color w:val="000000"/>
          <w:kern w:val="0"/>
          <w:sz w:val="24"/>
          <w:szCs w:val="24"/>
        </w:rPr>
        <w:lastRenderedPageBreak/>
        <w:t>际经济与贸易专业的其他班级则突出国际贸易实务操作能力的培养，采用学验并重的教学模式，通过增加实践课程、实验课程和案例教学的比重，强化学生的国际贸易实务操作能力。</w:t>
      </w:r>
    </w:p>
    <w:p w:rsidR="00A910F8" w:rsidRDefault="00E07596" w:rsidP="00D02887">
      <w:pPr>
        <w:widowControl/>
        <w:spacing w:line="500" w:lineRule="exact"/>
        <w:ind w:firstLineChars="200" w:firstLine="474"/>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2.专业人才培养模式</w:t>
      </w:r>
    </w:p>
    <w:p w:rsidR="00A910F8" w:rsidRDefault="00E07596">
      <w:pPr>
        <w:widowControl/>
        <w:spacing w:line="500" w:lineRule="exact"/>
        <w:ind w:firstLineChars="200" w:firstLine="472"/>
        <w:rPr>
          <w:rFonts w:ascii="楷体" w:eastAsia="楷体" w:hAnsi="楷体" w:cs="楷体"/>
          <w:color w:val="000000" w:themeColor="text1"/>
          <w:sz w:val="24"/>
          <w:szCs w:val="24"/>
        </w:rPr>
      </w:pPr>
      <w:r>
        <w:rPr>
          <w:rFonts w:ascii="楷体" w:eastAsia="楷体" w:hAnsi="楷体" w:cs="楷体" w:hint="eastAsia"/>
          <w:color w:val="000000"/>
          <w:kern w:val="0"/>
          <w:sz w:val="24"/>
          <w:szCs w:val="24"/>
        </w:rPr>
        <w:t>本专业在制定人才培养目标时一贯坚持以学校的办学理念为出发点，紧紧围绕立德树人根本任务，坚持“以学生发展为中心”，切实贯彻和落实我校在十四五规划中制定的建成“国际知名、国内有重要影响、特色鲜明的高水平应用型财经大学”的办学定位、“诚信、实用、开放”的办学理念和“诚信为本，学验并重”的办学特色。同时，以学校十四五学科建设规划和学院十四五规划为指引，围绕学校重点建设任务，积极参与上海高水平地方应用型高校建设项目，不断提升专业的办学质量和办学层次。本专业结合学校定位和社会需求，</w:t>
      </w:r>
      <w:r>
        <w:rPr>
          <w:rFonts w:ascii="楷体" w:eastAsia="楷体" w:hAnsi="楷体" w:cs="楷体" w:hint="eastAsia"/>
          <w:color w:val="000000" w:themeColor="text1"/>
          <w:sz w:val="24"/>
          <w:szCs w:val="24"/>
        </w:rPr>
        <w:t>密切关注国家和地区相关经济政策的变化，保持人才培养模式的动态性变化，培养服务地方和区域经济发展的应用型人才。在</w:t>
      </w:r>
      <w:r>
        <w:rPr>
          <w:rFonts w:ascii="楷体" w:eastAsia="楷体" w:hAnsi="楷体" w:cs="楷体" w:hint="eastAsia"/>
          <w:color w:val="000000"/>
          <w:kern w:val="0"/>
          <w:sz w:val="24"/>
          <w:szCs w:val="24"/>
        </w:rPr>
        <w:t>中华民族伟大复兴和社会主义建设新的一百年的宏大背景下，在中国社会主义经济双循环协调发展的新格局中，在上海“五个中心”、中国（上海）自由贸易试验区建设以及长三角区域一体化发展需求的引领下，</w:t>
      </w:r>
      <w:r>
        <w:rPr>
          <w:rFonts w:ascii="楷体" w:eastAsia="楷体" w:hAnsi="楷体" w:cs="楷体" w:hint="eastAsia"/>
          <w:color w:val="000000" w:themeColor="text1"/>
          <w:sz w:val="24"/>
          <w:szCs w:val="24"/>
        </w:rPr>
        <w:t>专业及时调研行业岗位需求，通过调整课程结构、内容设置等，使得应用型人才培养更有针对性，人才的输出符合市场需求的最新变化。</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本专业紧扣经济社会发展需求，注重专业内涵建设，深化教育教学改革，健全协同育人机制，彰显专业特色，提升专业建设质量，提出培养具有“诚信品质、全球视野、中国立场、通晓规则、创新精神”的高素质应用型财经人才。</w:t>
      </w:r>
    </w:p>
    <w:p w:rsidR="00A910F8" w:rsidRDefault="00E07596" w:rsidP="00D02887">
      <w:pPr>
        <w:widowControl/>
        <w:spacing w:line="500" w:lineRule="exact"/>
        <w:ind w:firstLineChars="200" w:firstLine="474"/>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3.专业学分、学时设置等情况</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国际经济与贸易专业课程体系的构建过程中，我们坚持通过定期调整课程结构、内容设置等，做到通识教育与专业教育相结合，保障实践教学比例。通过合理设置课程体系，支持毕业要求，使得应用型人才培养更有针对性，人才的输出符合市场需求的最新变化。</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本专业按照基础学制设置课程体系和学分。课程分为通识课、专业课和实践课三个模块。各专业的选修课比例不低于20%，实践教学比例不低于25%。其中，选修课包</w:t>
      </w:r>
      <w:r>
        <w:rPr>
          <w:rFonts w:ascii="楷体" w:eastAsia="楷体" w:hAnsi="楷体" w:cs="楷体" w:hint="eastAsia"/>
          <w:color w:val="000000"/>
          <w:kern w:val="0"/>
          <w:sz w:val="24"/>
          <w:szCs w:val="24"/>
        </w:rPr>
        <w:lastRenderedPageBreak/>
        <w:t>括通识选修课、专业选修课和实践选修课；实践教学包括课程内实践和实验，以及独立设置的实践和实验课，详见表1-2。</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通识课模块的教学目标为通过基础性、综合性、广博性的知识和训练，开拓学生视野，拓展通识知识，为学生的专业发展奠定基础。该模块由通识必修课程、校本特色课程、通识选修课程组成。通识课模块为59学分。</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专业课模块总体的教学目标为通过系统性、先进性、应用性的学科专业知识学习和训练，帮助学生理解与掌握专业基础知识，具备专业实务操作技能，能够胜任专业发展。该模块由专业必修课、专业选修课、跨学院选修课组成。专业课模块67学分。</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实践教学模块的总体教学目标是通过开放性、专业性、创新性的实验实训和校内外实践，以专业应用型问题为导向，强化学生劳动意识和综合实践能力培养。该模块由综合素质类实践、创新创业类实践、专业能力类实践组成，包括课内实践和独立设置的实践课。除体育类实践课、艺术类实践课在通识课中设置外，实践课模块开设其他独立设置的实践课34学分。</w:t>
      </w:r>
    </w:p>
    <w:p w:rsidR="00A910F8" w:rsidRDefault="00E07596" w:rsidP="00D02887">
      <w:pPr>
        <w:widowControl/>
        <w:spacing w:line="500" w:lineRule="exact"/>
        <w:ind w:firstLineChars="200" w:firstLine="474"/>
        <w:jc w:val="center"/>
        <w:rPr>
          <w:rFonts w:ascii="楷体" w:eastAsia="楷体" w:hAnsi="楷体" w:cs="楷体"/>
          <w:color w:val="000000"/>
          <w:kern w:val="0"/>
          <w:sz w:val="24"/>
          <w:szCs w:val="24"/>
        </w:rPr>
      </w:pPr>
      <w:r>
        <w:rPr>
          <w:rFonts w:ascii="楷体" w:eastAsia="楷体" w:hAnsi="楷体" w:cs="楷体" w:hint="eastAsia"/>
          <w:b/>
          <w:color w:val="000000"/>
          <w:sz w:val="24"/>
          <w:szCs w:val="24"/>
        </w:rPr>
        <w:t>表1-2</w:t>
      </w:r>
      <w:r>
        <w:rPr>
          <w:rFonts w:ascii="楷体" w:eastAsia="楷体" w:hAnsi="楷体" w:cs="楷体" w:hint="eastAsia"/>
          <w:b/>
          <w:bCs/>
          <w:sz w:val="24"/>
          <w:szCs w:val="24"/>
        </w:rPr>
        <w:t>本专业专业课模块学分学时结构</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30"/>
        <w:gridCol w:w="833"/>
        <w:gridCol w:w="764"/>
        <w:gridCol w:w="763"/>
        <w:gridCol w:w="766"/>
        <w:gridCol w:w="802"/>
        <w:gridCol w:w="828"/>
        <w:gridCol w:w="761"/>
        <w:gridCol w:w="763"/>
        <w:gridCol w:w="759"/>
      </w:tblGrid>
      <w:tr w:rsidR="00A910F8">
        <w:trPr>
          <w:trHeight w:val="510"/>
          <w:tblHeader/>
        </w:trPr>
        <w:tc>
          <w:tcPr>
            <w:tcW w:w="656" w:type="pct"/>
            <w:vMerge w:val="restart"/>
            <w:vAlign w:val="center"/>
          </w:tcPr>
          <w:p w:rsidR="00A910F8" w:rsidRDefault="00E07596">
            <w:pPr>
              <w:pStyle w:val="a9"/>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分类</w:t>
            </w:r>
          </w:p>
        </w:tc>
        <w:tc>
          <w:tcPr>
            <w:tcW w:w="2184" w:type="pct"/>
            <w:gridSpan w:val="5"/>
            <w:vAlign w:val="center"/>
          </w:tcPr>
          <w:p w:rsidR="00A910F8" w:rsidRDefault="00E07596">
            <w:pPr>
              <w:pStyle w:val="a9"/>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学分数（学分）</w:t>
            </w:r>
          </w:p>
        </w:tc>
        <w:tc>
          <w:tcPr>
            <w:tcW w:w="2159" w:type="pct"/>
            <w:gridSpan w:val="5"/>
            <w:vAlign w:val="center"/>
          </w:tcPr>
          <w:p w:rsidR="00A910F8" w:rsidRDefault="00E07596">
            <w:pPr>
              <w:pStyle w:val="a9"/>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学时数（课堂学时）</w:t>
            </w:r>
          </w:p>
        </w:tc>
      </w:tr>
      <w:tr w:rsidR="00A910F8">
        <w:trPr>
          <w:trHeight w:val="567"/>
          <w:tblHeader/>
        </w:trPr>
        <w:tc>
          <w:tcPr>
            <w:tcW w:w="656" w:type="pct"/>
            <w:vMerge/>
            <w:textDirection w:val="tbRlV"/>
          </w:tcPr>
          <w:p w:rsidR="00A910F8" w:rsidRDefault="00A910F8">
            <w:pPr>
              <w:pStyle w:val="a9"/>
              <w:jc w:val="center"/>
              <w:rPr>
                <w:rFonts w:ascii="楷体" w:eastAsia="楷体" w:hAnsi="楷体" w:cs="楷体"/>
                <w:b/>
                <w:bCs/>
                <w:color w:val="000000" w:themeColor="text1"/>
                <w:sz w:val="24"/>
              </w:rPr>
            </w:pPr>
          </w:p>
        </w:tc>
        <w:tc>
          <w:tcPr>
            <w:tcW w:w="458" w:type="pct"/>
            <w:vMerge w:val="restart"/>
            <w:textDirection w:val="tbRlV"/>
            <w:vAlign w:val="center"/>
          </w:tcPr>
          <w:p w:rsidR="00A910F8" w:rsidRDefault="00E07596">
            <w:pPr>
              <w:pStyle w:val="a9"/>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总学分</w:t>
            </w:r>
          </w:p>
        </w:tc>
        <w:tc>
          <w:tcPr>
            <w:tcW w:w="882" w:type="pct"/>
            <w:gridSpan w:val="2"/>
            <w:vAlign w:val="center"/>
          </w:tcPr>
          <w:p w:rsidR="00A910F8" w:rsidRDefault="00E07596">
            <w:pPr>
              <w:pStyle w:val="a9"/>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其中1：</w:t>
            </w:r>
          </w:p>
        </w:tc>
        <w:tc>
          <w:tcPr>
            <w:tcW w:w="844" w:type="pct"/>
            <w:gridSpan w:val="2"/>
            <w:vAlign w:val="center"/>
          </w:tcPr>
          <w:p w:rsidR="00A910F8" w:rsidRDefault="00E07596">
            <w:pPr>
              <w:pStyle w:val="a9"/>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其中2：</w:t>
            </w:r>
          </w:p>
        </w:tc>
        <w:tc>
          <w:tcPr>
            <w:tcW w:w="443" w:type="pct"/>
            <w:vMerge w:val="restart"/>
            <w:textDirection w:val="tbLrV"/>
            <w:vAlign w:val="center"/>
          </w:tcPr>
          <w:p w:rsidR="00A910F8" w:rsidRDefault="00E07596">
            <w:pPr>
              <w:pStyle w:val="a9"/>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总课堂学时</w:t>
            </w:r>
          </w:p>
        </w:tc>
        <w:tc>
          <w:tcPr>
            <w:tcW w:w="877" w:type="pct"/>
            <w:gridSpan w:val="2"/>
            <w:vAlign w:val="center"/>
          </w:tcPr>
          <w:p w:rsidR="00A910F8" w:rsidRDefault="00E07596">
            <w:pPr>
              <w:pStyle w:val="a9"/>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其中1：</w:t>
            </w:r>
          </w:p>
        </w:tc>
        <w:tc>
          <w:tcPr>
            <w:tcW w:w="840" w:type="pct"/>
            <w:gridSpan w:val="2"/>
            <w:vAlign w:val="center"/>
          </w:tcPr>
          <w:p w:rsidR="00A910F8" w:rsidRDefault="00E07596">
            <w:pPr>
              <w:pStyle w:val="a9"/>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其中2：</w:t>
            </w:r>
          </w:p>
        </w:tc>
      </w:tr>
      <w:tr w:rsidR="00A910F8">
        <w:trPr>
          <w:trHeight w:val="567"/>
          <w:tblHeader/>
        </w:trPr>
        <w:tc>
          <w:tcPr>
            <w:tcW w:w="656" w:type="pct"/>
            <w:vMerge/>
          </w:tcPr>
          <w:p w:rsidR="00A910F8" w:rsidRDefault="00A910F8">
            <w:pPr>
              <w:pStyle w:val="a9"/>
              <w:jc w:val="center"/>
              <w:rPr>
                <w:rFonts w:ascii="楷体" w:eastAsia="楷体" w:hAnsi="楷体" w:cs="楷体"/>
                <w:b/>
                <w:bCs/>
                <w:color w:val="000000" w:themeColor="text1"/>
                <w:sz w:val="24"/>
              </w:rPr>
            </w:pPr>
          </w:p>
        </w:tc>
        <w:tc>
          <w:tcPr>
            <w:tcW w:w="458" w:type="pct"/>
            <w:vMerge/>
            <w:vAlign w:val="center"/>
          </w:tcPr>
          <w:p w:rsidR="00A910F8" w:rsidRDefault="00A910F8">
            <w:pPr>
              <w:pStyle w:val="a9"/>
              <w:jc w:val="center"/>
              <w:rPr>
                <w:rFonts w:ascii="楷体" w:eastAsia="楷体" w:hAnsi="楷体" w:cs="楷体"/>
                <w:b/>
                <w:bCs/>
                <w:color w:val="000000" w:themeColor="text1"/>
                <w:sz w:val="24"/>
              </w:rPr>
            </w:pPr>
          </w:p>
        </w:tc>
        <w:tc>
          <w:tcPr>
            <w:tcW w:w="460"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b/>
                <w:bCs/>
                <w:color w:val="000000" w:themeColor="text1"/>
                <w:sz w:val="24"/>
              </w:rPr>
              <w:t>必修</w:t>
            </w:r>
          </w:p>
        </w:tc>
        <w:tc>
          <w:tcPr>
            <w:tcW w:w="422"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b/>
                <w:bCs/>
                <w:color w:val="000000" w:themeColor="text1"/>
                <w:sz w:val="24"/>
              </w:rPr>
              <w:t>选修</w:t>
            </w:r>
          </w:p>
        </w:tc>
        <w:tc>
          <w:tcPr>
            <w:tcW w:w="421" w:type="pct"/>
            <w:vAlign w:val="center"/>
          </w:tcPr>
          <w:p w:rsidR="00A910F8" w:rsidRDefault="00E07596" w:rsidP="00D02887">
            <w:pPr>
              <w:pStyle w:val="a9"/>
              <w:ind w:leftChars="-30" w:left="-95" w:rightChars="-30" w:right="-95"/>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理论</w:t>
            </w:r>
          </w:p>
        </w:tc>
        <w:tc>
          <w:tcPr>
            <w:tcW w:w="423" w:type="pct"/>
            <w:vAlign w:val="center"/>
          </w:tcPr>
          <w:p w:rsidR="00A910F8" w:rsidRDefault="00E07596" w:rsidP="00D02887">
            <w:pPr>
              <w:pStyle w:val="a9"/>
              <w:ind w:leftChars="-30" w:left="-95" w:rightChars="-30" w:right="-95"/>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实践</w:t>
            </w:r>
          </w:p>
        </w:tc>
        <w:tc>
          <w:tcPr>
            <w:tcW w:w="443" w:type="pct"/>
            <w:vMerge/>
            <w:vAlign w:val="center"/>
          </w:tcPr>
          <w:p w:rsidR="00A910F8" w:rsidRDefault="00A910F8" w:rsidP="00D02887">
            <w:pPr>
              <w:pStyle w:val="a9"/>
              <w:ind w:leftChars="-30" w:left="-95" w:rightChars="-30" w:right="-95"/>
              <w:jc w:val="center"/>
              <w:rPr>
                <w:rFonts w:ascii="楷体" w:eastAsia="楷体" w:hAnsi="楷体" w:cs="楷体"/>
                <w:b/>
                <w:bCs/>
                <w:color w:val="000000" w:themeColor="text1"/>
                <w:sz w:val="24"/>
              </w:rPr>
            </w:pPr>
          </w:p>
        </w:tc>
        <w:tc>
          <w:tcPr>
            <w:tcW w:w="457" w:type="pct"/>
            <w:vAlign w:val="center"/>
          </w:tcPr>
          <w:p w:rsidR="00A910F8" w:rsidRDefault="00E07596">
            <w:pPr>
              <w:pStyle w:val="a9"/>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必修</w:t>
            </w:r>
          </w:p>
        </w:tc>
        <w:tc>
          <w:tcPr>
            <w:tcW w:w="420" w:type="pct"/>
            <w:vAlign w:val="center"/>
          </w:tcPr>
          <w:p w:rsidR="00A910F8" w:rsidRDefault="00E07596">
            <w:pPr>
              <w:pStyle w:val="a9"/>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选修</w:t>
            </w:r>
          </w:p>
        </w:tc>
        <w:tc>
          <w:tcPr>
            <w:tcW w:w="421" w:type="pct"/>
            <w:vAlign w:val="center"/>
          </w:tcPr>
          <w:p w:rsidR="00A910F8" w:rsidRDefault="00E07596" w:rsidP="00D02887">
            <w:pPr>
              <w:pStyle w:val="a9"/>
              <w:ind w:leftChars="-30" w:left="-95" w:rightChars="-30" w:right="-95"/>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理论</w:t>
            </w:r>
          </w:p>
        </w:tc>
        <w:tc>
          <w:tcPr>
            <w:tcW w:w="419" w:type="pct"/>
            <w:vAlign w:val="center"/>
          </w:tcPr>
          <w:p w:rsidR="00A910F8" w:rsidRDefault="00E07596" w:rsidP="00D02887">
            <w:pPr>
              <w:pStyle w:val="a9"/>
              <w:ind w:leftChars="-30" w:left="-95" w:rightChars="-30" w:right="-95"/>
              <w:jc w:val="center"/>
              <w:rPr>
                <w:rFonts w:ascii="楷体" w:eastAsia="楷体" w:hAnsi="楷体" w:cs="楷体"/>
                <w:b/>
                <w:bCs/>
                <w:color w:val="000000" w:themeColor="text1"/>
                <w:sz w:val="24"/>
              </w:rPr>
            </w:pPr>
            <w:r>
              <w:rPr>
                <w:rFonts w:ascii="楷体" w:eastAsia="楷体" w:hAnsi="楷体" w:cs="楷体" w:hint="eastAsia"/>
                <w:b/>
                <w:bCs/>
                <w:color w:val="000000" w:themeColor="text1"/>
                <w:sz w:val="24"/>
              </w:rPr>
              <w:t>实践</w:t>
            </w:r>
          </w:p>
        </w:tc>
      </w:tr>
      <w:tr w:rsidR="00A910F8">
        <w:trPr>
          <w:trHeight w:val="397"/>
        </w:trPr>
        <w:tc>
          <w:tcPr>
            <w:tcW w:w="656"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小计</w:t>
            </w:r>
          </w:p>
        </w:tc>
        <w:tc>
          <w:tcPr>
            <w:tcW w:w="458" w:type="pct"/>
            <w:tcMar>
              <w:left w:w="0" w:type="dxa"/>
              <w:right w:w="0" w:type="dxa"/>
            </w:tcMar>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sz w:val="24"/>
              </w:rPr>
              <w:t>160</w:t>
            </w:r>
          </w:p>
        </w:tc>
        <w:tc>
          <w:tcPr>
            <w:tcW w:w="833" w:type="dxa"/>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124</w:t>
            </w:r>
          </w:p>
        </w:tc>
        <w:tc>
          <w:tcPr>
            <w:tcW w:w="764" w:type="dxa"/>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36</w:t>
            </w:r>
          </w:p>
        </w:tc>
        <w:tc>
          <w:tcPr>
            <w:tcW w:w="763"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102.81</w:t>
            </w:r>
          </w:p>
        </w:tc>
        <w:tc>
          <w:tcPr>
            <w:tcW w:w="766"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57.19</w:t>
            </w:r>
          </w:p>
        </w:tc>
        <w:tc>
          <w:tcPr>
            <w:tcW w:w="802"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2416</w:t>
            </w:r>
          </w:p>
        </w:tc>
        <w:tc>
          <w:tcPr>
            <w:tcW w:w="828"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1888</w:t>
            </w:r>
          </w:p>
        </w:tc>
        <w:tc>
          <w:tcPr>
            <w:tcW w:w="761"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528</w:t>
            </w:r>
          </w:p>
        </w:tc>
        <w:tc>
          <w:tcPr>
            <w:tcW w:w="763"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highlight w:val="yellow"/>
              </w:rPr>
            </w:pPr>
            <w:r>
              <w:rPr>
                <w:rFonts w:ascii="楷体" w:eastAsia="楷体" w:hAnsi="楷体" w:cs="楷体" w:hint="eastAsia"/>
                <w:color w:val="000000" w:themeColor="text1"/>
                <w:kern w:val="0"/>
                <w:sz w:val="24"/>
                <w:szCs w:val="24"/>
                <w:lang w:bidi="ar"/>
              </w:rPr>
              <w:t>1692</w:t>
            </w:r>
          </w:p>
        </w:tc>
        <w:tc>
          <w:tcPr>
            <w:tcW w:w="759"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highlight w:val="yellow"/>
              </w:rPr>
            </w:pPr>
            <w:r>
              <w:rPr>
                <w:rFonts w:ascii="楷体" w:eastAsia="楷体" w:hAnsi="楷体" w:cs="楷体" w:hint="eastAsia"/>
                <w:color w:val="000000" w:themeColor="text1"/>
                <w:kern w:val="0"/>
                <w:sz w:val="24"/>
                <w:szCs w:val="24"/>
                <w:lang w:bidi="ar"/>
              </w:rPr>
              <w:t>723</w:t>
            </w:r>
          </w:p>
        </w:tc>
      </w:tr>
      <w:tr w:rsidR="00A910F8">
        <w:trPr>
          <w:trHeight w:val="397"/>
        </w:trPr>
        <w:tc>
          <w:tcPr>
            <w:tcW w:w="656"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比重</w:t>
            </w:r>
          </w:p>
        </w:tc>
        <w:tc>
          <w:tcPr>
            <w:tcW w:w="458" w:type="pct"/>
            <w:tcMar>
              <w:left w:w="0" w:type="dxa"/>
              <w:right w:w="0" w:type="dxa"/>
            </w:tcMar>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sz w:val="24"/>
              </w:rPr>
              <w:t>100%</w:t>
            </w:r>
          </w:p>
        </w:tc>
        <w:tc>
          <w:tcPr>
            <w:tcW w:w="833" w:type="dxa"/>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77.5%</w:t>
            </w:r>
          </w:p>
        </w:tc>
        <w:tc>
          <w:tcPr>
            <w:tcW w:w="764" w:type="dxa"/>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22.5%</w:t>
            </w:r>
          </w:p>
        </w:tc>
        <w:tc>
          <w:tcPr>
            <w:tcW w:w="763"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64.3%</w:t>
            </w:r>
          </w:p>
        </w:tc>
        <w:tc>
          <w:tcPr>
            <w:tcW w:w="766"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35.7%</w:t>
            </w:r>
          </w:p>
        </w:tc>
        <w:tc>
          <w:tcPr>
            <w:tcW w:w="802"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100%</w:t>
            </w:r>
          </w:p>
        </w:tc>
        <w:tc>
          <w:tcPr>
            <w:tcW w:w="828"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78.1%</w:t>
            </w:r>
          </w:p>
        </w:tc>
        <w:tc>
          <w:tcPr>
            <w:tcW w:w="761"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21.9%</w:t>
            </w:r>
          </w:p>
        </w:tc>
        <w:tc>
          <w:tcPr>
            <w:tcW w:w="763"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70.0%</w:t>
            </w:r>
          </w:p>
        </w:tc>
        <w:tc>
          <w:tcPr>
            <w:tcW w:w="759" w:type="dxa"/>
            <w:shd w:val="clear" w:color="auto" w:fill="auto"/>
            <w:tcMar>
              <w:left w:w="0" w:type="dxa"/>
              <w:right w:w="0" w:type="dxa"/>
            </w:tcMar>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29.9%</w:t>
            </w:r>
          </w:p>
        </w:tc>
      </w:tr>
      <w:tr w:rsidR="00A910F8">
        <w:trPr>
          <w:trHeight w:val="397"/>
        </w:trPr>
        <w:tc>
          <w:tcPr>
            <w:tcW w:w="5000" w:type="pct"/>
            <w:gridSpan w:val="11"/>
            <w:vAlign w:val="center"/>
          </w:tcPr>
          <w:p w:rsidR="00A910F8" w:rsidRDefault="00E07596">
            <w:pPr>
              <w:pStyle w:val="a9"/>
              <w:rPr>
                <w:rFonts w:ascii="楷体" w:eastAsia="楷体" w:hAnsi="楷体" w:cs="楷体"/>
                <w:color w:val="000000" w:themeColor="text1"/>
                <w:sz w:val="24"/>
              </w:rPr>
            </w:pPr>
            <w:r>
              <w:rPr>
                <w:rFonts w:ascii="楷体" w:eastAsia="楷体" w:hAnsi="楷体" w:cs="楷体" w:hint="eastAsia"/>
                <w:color w:val="000000" w:themeColor="text1"/>
                <w:sz w:val="24"/>
              </w:rPr>
              <w:t>注：选修课包括限选课；实践教学含实验和实训等环节；比重为占总学分或总学时的比例。</w:t>
            </w:r>
          </w:p>
        </w:tc>
      </w:tr>
    </w:tbl>
    <w:p w:rsidR="00A910F8" w:rsidRDefault="00E07596" w:rsidP="00D02887">
      <w:pPr>
        <w:widowControl/>
        <w:spacing w:line="500" w:lineRule="exact"/>
        <w:ind w:firstLineChars="200" w:firstLine="474"/>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4.专业主干课程设置情况</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根据《普通高等学校本科专业类教学质量国家标准》和专业特色设置的专业基础课和专业核心课，包括数学类课程、学科专业基础课或专业大类课程，以及专业核心课程。</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lastRenderedPageBreak/>
        <w:t>国际经济与贸易专业开设了政治经济学、微观经济学、宏观经济学、计量经济学、国际经济学、管理学、国际贸易实务、跨国公司经营与管理、国际服务贸易、国际商务谈判（全英语）、中国对外贸易、国际投资学、国际市场营销理论与实践（全英语）、进出口结算等主干课程，以及其余必修与选修课程。按照基础学制设置课程体系和多元化课程模块，见图1-1。课程体系分为通识课模块、专业必修课模块、专业选修课模块和创新实践模块。各模块的选修课比例不低于20%，实践教学比例不低于25%。专业必修课模块直接对接国家课程标准，设置了《宏观经济学》《国际经济学》《国际商务谈判》等课程。专业选修课程则直接对接长三角区域和地方经济发展和企业需求，设置贸易实务模块、数字贸易模块、跨国经营模块和学科基础课程模块。这4大模块课程的设置都注重于提升学生的综合实践能力和职业素养的培养。例如，贸易实务模块主要开设了《进出口结算》《国际会展实务与操作》等实务操作课程，侧重培养学生外贸实务技能的培养。在数字贸易模块，则开设《数字贸易概论》《区块链与国际贸易》《数字产品贸易》等课程，侧重培养学生的数据处理和分析以及运用数字技术解决国际贸易实际问题的能力。</w:t>
      </w:r>
    </w:p>
    <w:p w:rsidR="00A910F8" w:rsidRDefault="00E07596">
      <w:pPr>
        <w:widowControl/>
        <w:adjustRightInd w:val="0"/>
        <w:snapToGrid w:val="0"/>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在创新实践模块中，根据课程内容具体设置了创新实践必修课程和创新实践选修课程，前者主要是依托于专业必修课程设置的实践和实验，例如《国际贸易情境综合实训》《企业运营实训》《创新创业实践》等，后者则依托于学院9支科研创新团队以科教融合、科创融合为支撑，开设特色学科和行业前沿及创新实践课程。</w:t>
      </w:r>
    </w:p>
    <w:p w:rsidR="00A910F8" w:rsidRDefault="00E07596" w:rsidP="00D02887">
      <w:pPr>
        <w:widowControl/>
        <w:spacing w:line="500" w:lineRule="exact"/>
        <w:ind w:firstLineChars="200" w:firstLine="474"/>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5.本专业核心课程设置与毕业要求的关系</w:t>
      </w:r>
    </w:p>
    <w:p w:rsidR="00A910F8" w:rsidRDefault="00E07596">
      <w:pPr>
        <w:widowControl/>
        <w:adjustRightInd w:val="0"/>
        <w:snapToGrid w:val="0"/>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课程目标达成度评价是本科人才培养全过程中的重要环节，是衡量学生是否达到本专业毕业要求的重要依据。因此，需要定期对学生的课程目标达成情况进行评价。为了合理评价课程目标达成情况，保证课程教学质量、促进课程教学持续改进，支持本专业毕业要求的达成，本专业分析了12门专业核心课程的课程目标达成情况，以证明毕业要求的达成。</w:t>
      </w:r>
    </w:p>
    <w:p w:rsidR="00A910F8" w:rsidRDefault="00E07596">
      <w:pPr>
        <w:widowControl/>
        <w:adjustRightInd w:val="0"/>
        <w:snapToGrid w:val="0"/>
        <w:spacing w:line="360" w:lineRule="auto"/>
        <w:ind w:rightChars="50" w:right="158" w:firstLineChars="200" w:firstLine="472"/>
        <w:jc w:val="left"/>
        <w:rPr>
          <w:rFonts w:ascii="楷体" w:eastAsia="楷体" w:hAnsi="楷体" w:cs="楷体"/>
          <w:color w:val="000000"/>
          <w:kern w:val="0"/>
          <w:sz w:val="24"/>
          <w:szCs w:val="24"/>
        </w:rPr>
      </w:pPr>
      <w:r>
        <w:rPr>
          <w:rFonts w:ascii="楷体" w:eastAsia="楷体" w:hAnsi="楷体" w:cs="楷体" w:hint="eastAsia"/>
          <w:noProof/>
          <w:sz w:val="24"/>
          <w:szCs w:val="24"/>
        </w:rPr>
        <w:lastRenderedPageBreak/>
        <w:drawing>
          <wp:inline distT="0" distB="0" distL="0" distR="0">
            <wp:extent cx="5114290" cy="5745480"/>
            <wp:effectExtent l="0" t="0" r="0" b="7620"/>
            <wp:docPr id="3" name="图片 3"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文本&#10;&#10;描述已自动生成"/>
                    <pic:cNvPicPr>
                      <a:picLocks noChangeAspect="1" noChangeArrowheads="1"/>
                    </pic:cNvPicPr>
                  </pic:nvPicPr>
                  <pic:blipFill>
                    <a:blip r:embed="rId11"/>
                    <a:srcRect/>
                    <a:stretch>
                      <a:fillRect/>
                    </a:stretch>
                  </pic:blipFill>
                  <pic:spPr>
                    <a:xfrm>
                      <a:off x="0" y="0"/>
                      <a:ext cx="5128680" cy="5761130"/>
                    </a:xfrm>
                    <a:prstGeom prst="rect">
                      <a:avLst/>
                    </a:prstGeom>
                    <a:noFill/>
                    <a:ln>
                      <a:noFill/>
                    </a:ln>
                  </pic:spPr>
                </pic:pic>
              </a:graphicData>
            </a:graphic>
          </wp:inline>
        </w:drawing>
      </w:r>
    </w:p>
    <w:p w:rsidR="00A910F8" w:rsidRDefault="00E07596" w:rsidP="00D02887">
      <w:pPr>
        <w:pStyle w:val="aa"/>
        <w:adjustRightInd w:val="0"/>
        <w:snapToGrid w:val="0"/>
        <w:spacing w:line="240" w:lineRule="auto"/>
        <w:ind w:firstLineChars="1500" w:firstLine="3552"/>
        <w:jc w:val="left"/>
        <w:rPr>
          <w:rFonts w:ascii="楷体" w:eastAsia="楷体" w:hAnsi="楷体" w:cs="楷体"/>
          <w:b/>
          <w:szCs w:val="24"/>
          <w:lang w:eastAsia="zh-CN"/>
        </w:rPr>
      </w:pPr>
      <w:r>
        <w:rPr>
          <w:rFonts w:ascii="楷体" w:eastAsia="楷体" w:hAnsi="楷体" w:cs="楷体" w:hint="eastAsia"/>
          <w:b/>
          <w:szCs w:val="24"/>
          <w:lang w:eastAsia="zh-CN"/>
        </w:rPr>
        <w:t>图1-1  课程体系图</w:t>
      </w:r>
    </w:p>
    <w:p w:rsidR="00A910F8" w:rsidRDefault="00A910F8">
      <w:pPr>
        <w:pStyle w:val="aa"/>
        <w:adjustRightInd w:val="0"/>
        <w:snapToGrid w:val="0"/>
        <w:spacing w:line="240" w:lineRule="auto"/>
        <w:ind w:firstLineChars="0" w:firstLine="0"/>
        <w:rPr>
          <w:rFonts w:ascii="楷体" w:eastAsia="楷体" w:hAnsi="楷体" w:cs="楷体"/>
          <w:b/>
          <w:szCs w:val="24"/>
          <w:lang w:eastAsia="zh-CN"/>
        </w:rPr>
      </w:pPr>
    </w:p>
    <w:p w:rsidR="00A910F8" w:rsidRDefault="00E07596" w:rsidP="00D02887">
      <w:pPr>
        <w:pStyle w:val="aa"/>
        <w:adjustRightInd w:val="0"/>
        <w:snapToGrid w:val="0"/>
        <w:spacing w:line="240" w:lineRule="auto"/>
        <w:ind w:firstLineChars="500" w:firstLine="1184"/>
        <w:jc w:val="center"/>
        <w:rPr>
          <w:rFonts w:ascii="楷体" w:eastAsia="楷体" w:hAnsi="楷体" w:cs="楷体"/>
          <w:b/>
          <w:szCs w:val="24"/>
          <w:lang w:eastAsia="zh-CN"/>
        </w:rPr>
      </w:pPr>
      <w:r>
        <w:rPr>
          <w:rFonts w:ascii="楷体" w:eastAsia="楷体" w:hAnsi="楷体" w:cs="楷体" w:hint="eastAsia"/>
          <w:b/>
          <w:szCs w:val="24"/>
          <w:lang w:eastAsia="zh-CN"/>
        </w:rPr>
        <w:t>表1-3 毕业要求与核心课程对应关系及达成度</w:t>
      </w:r>
    </w:p>
    <w:tbl>
      <w:tblPr>
        <w:tblW w:w="5000" w:type="pct"/>
        <w:jc w:val="center"/>
        <w:tblLook w:val="04A0" w:firstRow="1" w:lastRow="0" w:firstColumn="1" w:lastColumn="0" w:noHBand="0" w:noVBand="1"/>
      </w:tblPr>
      <w:tblGrid>
        <w:gridCol w:w="1943"/>
        <w:gridCol w:w="2861"/>
        <w:gridCol w:w="2262"/>
        <w:gridCol w:w="1995"/>
      </w:tblGrid>
      <w:tr w:rsidR="00A910F8">
        <w:trPr>
          <w:trHeight w:val="510"/>
          <w:tblHeader/>
          <w:jc w:val="center"/>
        </w:trPr>
        <w:tc>
          <w:tcPr>
            <w:tcW w:w="1072" w:type="pct"/>
            <w:tcBorders>
              <w:top w:val="single" w:sz="8" w:space="0" w:color="auto"/>
              <w:left w:val="single" w:sz="8" w:space="0" w:color="auto"/>
              <w:bottom w:val="single" w:sz="8" w:space="0" w:color="auto"/>
              <w:right w:val="single" w:sz="8" w:space="0" w:color="auto"/>
            </w:tcBorders>
            <w:shd w:val="clear" w:color="auto" w:fill="E8E6E6"/>
            <w:noWrap/>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毕业要求</w:t>
            </w:r>
          </w:p>
        </w:tc>
        <w:tc>
          <w:tcPr>
            <w:tcW w:w="1579" w:type="pct"/>
            <w:tcBorders>
              <w:top w:val="single" w:sz="8" w:space="0" w:color="auto"/>
              <w:left w:val="nil"/>
              <w:bottom w:val="single" w:sz="8" w:space="0" w:color="auto"/>
              <w:right w:val="single" w:sz="8" w:space="0" w:color="auto"/>
            </w:tcBorders>
            <w:shd w:val="clear" w:color="auto" w:fill="E8E6E6"/>
            <w:noWrap/>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教学活动</w:t>
            </w:r>
          </w:p>
        </w:tc>
        <w:tc>
          <w:tcPr>
            <w:tcW w:w="1248" w:type="pct"/>
            <w:tcBorders>
              <w:top w:val="single" w:sz="8" w:space="0" w:color="auto"/>
              <w:left w:val="nil"/>
              <w:bottom w:val="single" w:sz="8" w:space="0" w:color="auto"/>
              <w:right w:val="single" w:sz="8" w:space="0" w:color="auto"/>
            </w:tcBorders>
            <w:shd w:val="clear" w:color="auto" w:fill="E8E6E6"/>
            <w:noWrap/>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平均成绩</w:t>
            </w:r>
          </w:p>
        </w:tc>
        <w:tc>
          <w:tcPr>
            <w:tcW w:w="1101" w:type="pct"/>
            <w:tcBorders>
              <w:top w:val="single" w:sz="8" w:space="0" w:color="auto"/>
              <w:left w:val="nil"/>
              <w:bottom w:val="single" w:sz="8" w:space="0" w:color="auto"/>
              <w:right w:val="single" w:sz="8" w:space="0" w:color="auto"/>
            </w:tcBorders>
            <w:shd w:val="clear" w:color="auto" w:fill="E8E6E6"/>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达成情况</w:t>
            </w:r>
          </w:p>
        </w:tc>
      </w:tr>
      <w:tr w:rsidR="00A910F8">
        <w:trPr>
          <w:trHeight w:val="285"/>
          <w:jc w:val="center"/>
        </w:trPr>
        <w:tc>
          <w:tcPr>
            <w:tcW w:w="1072" w:type="pct"/>
            <w:vMerge w:val="restart"/>
            <w:tcBorders>
              <w:top w:val="nil"/>
              <w:left w:val="single" w:sz="8" w:space="0" w:color="auto"/>
              <w:bottom w:val="single" w:sz="8" w:space="0" w:color="000000"/>
              <w:right w:val="single" w:sz="8" w:space="0" w:color="auto"/>
            </w:tcBorders>
            <w:shd w:val="clear" w:color="auto" w:fill="auto"/>
            <w:noWrap/>
          </w:tcPr>
          <w:p w:rsidR="00A910F8" w:rsidRDefault="00A910F8">
            <w:pPr>
              <w:widowControl/>
              <w:jc w:val="center"/>
              <w:rPr>
                <w:rFonts w:ascii="楷体" w:eastAsia="楷体" w:hAnsi="楷体" w:cs="楷体"/>
                <w:b/>
                <w:bCs/>
                <w:color w:val="000000"/>
                <w:kern w:val="0"/>
                <w:sz w:val="24"/>
                <w:szCs w:val="24"/>
              </w:rPr>
            </w:pPr>
          </w:p>
          <w:p w:rsidR="00A910F8" w:rsidRDefault="00A910F8">
            <w:pPr>
              <w:widowControl/>
              <w:jc w:val="center"/>
              <w:rPr>
                <w:rFonts w:ascii="楷体" w:eastAsia="楷体" w:hAnsi="楷体" w:cs="楷体"/>
                <w:b/>
                <w:bCs/>
                <w:color w:val="000000"/>
                <w:kern w:val="0"/>
                <w:sz w:val="24"/>
                <w:szCs w:val="24"/>
              </w:rPr>
            </w:pPr>
          </w:p>
          <w:p w:rsidR="00A910F8" w:rsidRDefault="00A910F8">
            <w:pPr>
              <w:widowControl/>
              <w:jc w:val="center"/>
              <w:rPr>
                <w:rFonts w:ascii="楷体" w:eastAsia="楷体" w:hAnsi="楷体" w:cs="楷体"/>
                <w:b/>
                <w:bCs/>
                <w:color w:val="000000"/>
                <w:kern w:val="0"/>
                <w:sz w:val="24"/>
                <w:szCs w:val="24"/>
              </w:rPr>
            </w:pPr>
          </w:p>
          <w:p w:rsidR="00A910F8" w:rsidRDefault="00A910F8">
            <w:pPr>
              <w:widowControl/>
              <w:jc w:val="center"/>
              <w:rPr>
                <w:rFonts w:ascii="楷体" w:eastAsia="楷体" w:hAnsi="楷体" w:cs="楷体"/>
                <w:b/>
                <w:bCs/>
                <w:color w:val="000000"/>
                <w:kern w:val="0"/>
                <w:sz w:val="24"/>
                <w:szCs w:val="24"/>
              </w:rPr>
            </w:pPr>
          </w:p>
          <w:p w:rsidR="00A910F8" w:rsidRDefault="00A910F8">
            <w:pPr>
              <w:widowControl/>
              <w:jc w:val="center"/>
              <w:rPr>
                <w:rFonts w:ascii="楷体" w:eastAsia="楷体" w:hAnsi="楷体" w:cs="楷体"/>
                <w:b/>
                <w:bCs/>
                <w:color w:val="000000"/>
                <w:kern w:val="0"/>
                <w:sz w:val="24"/>
                <w:szCs w:val="24"/>
              </w:rPr>
            </w:pPr>
          </w:p>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R1</w:t>
            </w: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lastRenderedPageBreak/>
              <w:t>微观经济学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80.70</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 xml:space="preserve">达成　</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86.5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国际贸易实务</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82.42</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国际贸易学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79.7</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进出口结算</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88.93</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政治经济学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82.74</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宏观经济学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82.23</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微观经济学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80.07</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国际商务谈判</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92.65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计量经济学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93.35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国际投资学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94.60</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val="restart"/>
            <w:tcBorders>
              <w:top w:val="nil"/>
              <w:left w:val="single" w:sz="8" w:space="0" w:color="auto"/>
              <w:bottom w:val="single" w:sz="8" w:space="0" w:color="000000"/>
              <w:right w:val="single" w:sz="8" w:space="0" w:color="auto"/>
            </w:tcBorders>
            <w:shd w:val="clear" w:color="auto" w:fill="auto"/>
            <w:noWrap/>
          </w:tcPr>
          <w:p w:rsidR="00A910F8" w:rsidRDefault="00A910F8">
            <w:pPr>
              <w:widowControl/>
              <w:jc w:val="center"/>
              <w:rPr>
                <w:rFonts w:ascii="楷体" w:eastAsia="楷体" w:hAnsi="楷体" w:cs="楷体"/>
                <w:b/>
                <w:bCs/>
                <w:color w:val="000000"/>
                <w:kern w:val="0"/>
                <w:sz w:val="24"/>
                <w:szCs w:val="24"/>
              </w:rPr>
            </w:pPr>
          </w:p>
          <w:p w:rsidR="00A910F8" w:rsidRDefault="00A910F8">
            <w:pPr>
              <w:widowControl/>
              <w:jc w:val="center"/>
              <w:rPr>
                <w:rFonts w:ascii="楷体" w:eastAsia="楷体" w:hAnsi="楷体" w:cs="楷体"/>
                <w:b/>
                <w:bCs/>
                <w:color w:val="000000"/>
                <w:kern w:val="0"/>
                <w:sz w:val="24"/>
                <w:szCs w:val="24"/>
              </w:rPr>
            </w:pPr>
          </w:p>
          <w:p w:rsidR="00A910F8" w:rsidRDefault="00A910F8">
            <w:pPr>
              <w:widowControl/>
              <w:jc w:val="center"/>
              <w:rPr>
                <w:rFonts w:ascii="楷体" w:eastAsia="楷体" w:hAnsi="楷体" w:cs="楷体"/>
                <w:b/>
                <w:bCs/>
                <w:color w:val="000000"/>
                <w:kern w:val="0"/>
                <w:sz w:val="24"/>
                <w:szCs w:val="24"/>
              </w:rPr>
            </w:pPr>
          </w:p>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R2</w:t>
            </w: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86.8</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国际商务谈判</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86.03</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国际贸易实务</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84.15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国际贸易学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73.95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进出口结算</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88.06</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跨国经营与管理</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83.27</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微观经济学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82.05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计量经济学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93.35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政治经济学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82.33</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国际投资学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94.32</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宏观经济学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83.46</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val="restart"/>
            <w:tcBorders>
              <w:top w:val="nil"/>
              <w:left w:val="single" w:sz="8" w:space="0" w:color="auto"/>
              <w:bottom w:val="single" w:sz="8" w:space="0" w:color="000000"/>
              <w:right w:val="single" w:sz="8" w:space="0" w:color="auto"/>
            </w:tcBorders>
            <w:shd w:val="clear" w:color="auto" w:fill="auto"/>
            <w:noWrap/>
          </w:tcPr>
          <w:p w:rsidR="00A910F8" w:rsidRDefault="00A910F8">
            <w:pPr>
              <w:widowControl/>
              <w:jc w:val="center"/>
              <w:rPr>
                <w:rFonts w:ascii="楷体" w:eastAsia="楷体" w:hAnsi="楷体" w:cs="楷体"/>
                <w:b/>
                <w:bCs/>
                <w:color w:val="000000"/>
                <w:kern w:val="0"/>
                <w:sz w:val="24"/>
                <w:szCs w:val="24"/>
              </w:rPr>
            </w:pPr>
          </w:p>
          <w:p w:rsidR="00A910F8" w:rsidRDefault="00A910F8">
            <w:pPr>
              <w:widowControl/>
              <w:jc w:val="center"/>
              <w:rPr>
                <w:rFonts w:ascii="楷体" w:eastAsia="楷体" w:hAnsi="楷体" w:cs="楷体"/>
                <w:b/>
                <w:bCs/>
                <w:color w:val="000000"/>
                <w:kern w:val="0"/>
                <w:sz w:val="24"/>
                <w:szCs w:val="24"/>
              </w:rPr>
            </w:pPr>
          </w:p>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R3</w:t>
            </w: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国际贸易实务</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82.19</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shd w:val="clear" w:color="auto" w:fill="auto"/>
            <w:noWrap/>
          </w:tcPr>
          <w:p w:rsidR="00A910F8" w:rsidRDefault="00A910F8">
            <w:pPr>
              <w:widowControl/>
              <w:jc w:val="center"/>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微观经济学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78.45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87.8</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国际贸易学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82.95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进出口结算</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81.73</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宏观经济学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81.8</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val="restart"/>
            <w:tcBorders>
              <w:top w:val="nil"/>
              <w:left w:val="single" w:sz="8" w:space="0" w:color="auto"/>
              <w:bottom w:val="single" w:sz="8" w:space="0" w:color="000000"/>
              <w:right w:val="single" w:sz="8" w:space="0" w:color="auto"/>
            </w:tcBorders>
            <w:shd w:val="clear" w:color="auto" w:fill="auto"/>
            <w:noWrap/>
          </w:tcPr>
          <w:p w:rsidR="00A910F8" w:rsidRDefault="00A910F8">
            <w:pPr>
              <w:widowControl/>
              <w:jc w:val="center"/>
              <w:rPr>
                <w:rFonts w:ascii="楷体" w:eastAsia="楷体" w:hAnsi="楷体" w:cs="楷体"/>
                <w:b/>
                <w:bCs/>
                <w:color w:val="000000"/>
                <w:kern w:val="0"/>
                <w:sz w:val="24"/>
                <w:szCs w:val="24"/>
              </w:rPr>
            </w:pPr>
          </w:p>
          <w:p w:rsidR="00A910F8" w:rsidRDefault="00A910F8">
            <w:pPr>
              <w:widowControl/>
              <w:jc w:val="center"/>
              <w:rPr>
                <w:rFonts w:ascii="楷体" w:eastAsia="楷体" w:hAnsi="楷体" w:cs="楷体"/>
                <w:b/>
                <w:bCs/>
                <w:color w:val="000000"/>
                <w:kern w:val="0"/>
                <w:sz w:val="24"/>
                <w:szCs w:val="24"/>
              </w:rPr>
            </w:pPr>
          </w:p>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R4</w:t>
            </w: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进出口结算</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88.06</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国际贸易实务</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78.36</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国际贸易情景综合实训</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83.96</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87.3</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计量经济学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78.85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国际商务谈判</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84.42</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国际投资学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95.16</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跨国经营管理</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83.27</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tcBorders>
              <w:top w:val="nil"/>
              <w:left w:val="single" w:sz="8" w:space="0" w:color="auto"/>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R5</w:t>
            </w: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计量经济学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78.85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val="restart"/>
            <w:tcBorders>
              <w:top w:val="nil"/>
              <w:left w:val="single" w:sz="8" w:space="0" w:color="auto"/>
              <w:right w:val="single" w:sz="8" w:space="0" w:color="auto"/>
            </w:tcBorders>
            <w:shd w:val="clear" w:color="auto" w:fill="auto"/>
            <w:noWrap/>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R6</w:t>
            </w: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87.3</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left w:val="single" w:sz="8" w:space="0" w:color="auto"/>
              <w:bottom w:val="single" w:sz="8" w:space="0" w:color="auto"/>
              <w:right w:val="single" w:sz="8" w:space="0" w:color="auto"/>
            </w:tcBorders>
            <w:shd w:val="clear" w:color="auto" w:fill="auto"/>
            <w:noWrap/>
          </w:tcPr>
          <w:p w:rsidR="00A910F8" w:rsidRDefault="00A910F8">
            <w:pPr>
              <w:widowControl/>
              <w:jc w:val="center"/>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国际贸易情景综合实训</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83.96</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tcBorders>
              <w:left w:val="single" w:sz="8" w:space="0" w:color="auto"/>
              <w:bottom w:val="single" w:sz="8" w:space="0" w:color="auto"/>
              <w:right w:val="single" w:sz="8" w:space="0" w:color="auto"/>
            </w:tcBorders>
            <w:shd w:val="clear" w:color="auto" w:fill="auto"/>
            <w:noWrap/>
          </w:tcPr>
          <w:p w:rsidR="00A910F8" w:rsidRDefault="00A910F8">
            <w:pPr>
              <w:widowControl/>
              <w:jc w:val="center"/>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国际投资学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95.05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val="restart"/>
            <w:tcBorders>
              <w:top w:val="nil"/>
              <w:left w:val="single" w:sz="8" w:space="0" w:color="auto"/>
              <w:bottom w:val="single" w:sz="8" w:space="0" w:color="000000"/>
              <w:right w:val="single" w:sz="8" w:space="0" w:color="auto"/>
            </w:tcBorders>
            <w:shd w:val="clear" w:color="auto" w:fill="auto"/>
            <w:noWrap/>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R7</w:t>
            </w: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国际贸易情景综合实训</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83.96</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国际商务谈判</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82.31</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tcBorders>
              <w:top w:val="nil"/>
              <w:left w:val="single" w:sz="8" w:space="0" w:color="auto"/>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R8</w:t>
            </w: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专业必修课</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融合在课程内容中</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val="restart"/>
            <w:tcBorders>
              <w:top w:val="nil"/>
              <w:left w:val="single" w:sz="8" w:space="0" w:color="auto"/>
              <w:bottom w:val="single" w:sz="8" w:space="0" w:color="000000"/>
              <w:right w:val="single" w:sz="8" w:space="0" w:color="auto"/>
            </w:tcBorders>
            <w:shd w:val="clear" w:color="auto" w:fill="auto"/>
            <w:noWrap/>
          </w:tcPr>
          <w:p w:rsidR="00A910F8" w:rsidRDefault="00A910F8">
            <w:pPr>
              <w:widowControl/>
              <w:jc w:val="center"/>
              <w:rPr>
                <w:rFonts w:ascii="楷体" w:eastAsia="楷体" w:hAnsi="楷体" w:cs="楷体"/>
                <w:b/>
                <w:bCs/>
                <w:color w:val="000000"/>
                <w:kern w:val="0"/>
                <w:sz w:val="24"/>
                <w:szCs w:val="24"/>
              </w:rPr>
            </w:pPr>
          </w:p>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R9</w:t>
            </w: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跨国经营管理</w:t>
            </w:r>
          </w:p>
        </w:tc>
        <w:tc>
          <w:tcPr>
            <w:tcW w:w="1248" w:type="pct"/>
            <w:tcBorders>
              <w:top w:val="nil"/>
              <w:left w:val="nil"/>
              <w:bottom w:val="single" w:sz="8" w:space="0" w:color="auto"/>
              <w:right w:val="single" w:sz="8" w:space="0" w:color="auto"/>
            </w:tcBorders>
            <w:shd w:val="clear" w:color="auto" w:fill="auto"/>
            <w:noWrap/>
          </w:tcPr>
          <w:p w:rsidR="00A910F8" w:rsidRDefault="00E07596" w:rsidP="00D02887">
            <w:pPr>
              <w:widowControl/>
              <w:ind w:firstLineChars="438" w:firstLine="1033"/>
              <w:rPr>
                <w:rFonts w:ascii="楷体" w:eastAsia="楷体" w:hAnsi="楷体" w:cs="楷体"/>
                <w:color w:val="000000"/>
                <w:kern w:val="0"/>
                <w:sz w:val="24"/>
                <w:szCs w:val="24"/>
              </w:rPr>
            </w:pPr>
            <w:r>
              <w:rPr>
                <w:rFonts w:ascii="楷体" w:eastAsia="楷体" w:hAnsi="楷体" w:cs="楷体" w:hint="eastAsia"/>
                <w:color w:val="000000"/>
                <w:kern w:val="0"/>
                <w:sz w:val="24"/>
                <w:szCs w:val="24"/>
              </w:rPr>
              <w:t>83.27</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政治经济学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81.25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r w:rsidR="00A910F8">
        <w:trPr>
          <w:trHeight w:val="285"/>
          <w:jc w:val="center"/>
        </w:trPr>
        <w:tc>
          <w:tcPr>
            <w:tcW w:w="1072" w:type="pct"/>
            <w:vMerge/>
            <w:tcBorders>
              <w:top w:val="nil"/>
              <w:left w:val="single" w:sz="8" w:space="0" w:color="auto"/>
              <w:bottom w:val="single" w:sz="8" w:space="0" w:color="000000"/>
              <w:right w:val="single" w:sz="8" w:space="0" w:color="auto"/>
            </w:tcBorders>
            <w:vAlign w:val="center"/>
          </w:tcPr>
          <w:p w:rsidR="00A910F8" w:rsidRDefault="00A910F8">
            <w:pPr>
              <w:widowControl/>
              <w:jc w:val="left"/>
              <w:rPr>
                <w:rFonts w:ascii="楷体" w:eastAsia="楷体" w:hAnsi="楷体" w:cs="楷体"/>
                <w:b/>
                <w:bCs/>
                <w:color w:val="000000"/>
                <w:kern w:val="0"/>
                <w:sz w:val="24"/>
                <w:szCs w:val="24"/>
              </w:rPr>
            </w:pPr>
          </w:p>
        </w:tc>
        <w:tc>
          <w:tcPr>
            <w:tcW w:w="1579"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微观经济学</w:t>
            </w:r>
          </w:p>
        </w:tc>
        <w:tc>
          <w:tcPr>
            <w:tcW w:w="1248" w:type="pct"/>
            <w:tcBorders>
              <w:top w:val="nil"/>
              <w:left w:val="nil"/>
              <w:bottom w:val="single" w:sz="8" w:space="0" w:color="auto"/>
              <w:right w:val="single" w:sz="8" w:space="0" w:color="auto"/>
            </w:tcBorders>
            <w:shd w:val="clear" w:color="auto" w:fill="auto"/>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78.45</w:t>
            </w:r>
          </w:p>
        </w:tc>
        <w:tc>
          <w:tcPr>
            <w:tcW w:w="1101" w:type="pct"/>
            <w:tcBorders>
              <w:top w:val="nil"/>
              <w:left w:val="nil"/>
              <w:bottom w:val="single" w:sz="8" w:space="0" w:color="auto"/>
              <w:right w:val="single" w:sz="8" w:space="0" w:color="auto"/>
            </w:tcBorders>
            <w:shd w:val="clear" w:color="auto" w:fill="auto"/>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达成</w:t>
            </w:r>
          </w:p>
        </w:tc>
      </w:tr>
    </w:tbl>
    <w:p w:rsidR="00A910F8" w:rsidRDefault="00E07596">
      <w:pPr>
        <w:pStyle w:val="1"/>
        <w:spacing w:before="20" w:after="20" w:line="360" w:lineRule="auto"/>
        <w:rPr>
          <w:rFonts w:ascii="楷体" w:eastAsia="楷体" w:hAnsi="楷体" w:cs="楷体"/>
          <w:sz w:val="28"/>
          <w:szCs w:val="28"/>
        </w:rPr>
      </w:pPr>
      <w:bookmarkStart w:id="4" w:name="_Toc4154"/>
      <w:r>
        <w:rPr>
          <w:rFonts w:ascii="楷体" w:eastAsia="楷体" w:hAnsi="楷体" w:cs="楷体" w:hint="eastAsia"/>
          <w:sz w:val="28"/>
          <w:szCs w:val="28"/>
        </w:rPr>
        <w:lastRenderedPageBreak/>
        <w:t>二、专业师资与教学条件</w:t>
      </w:r>
      <w:bookmarkEnd w:id="4"/>
    </w:p>
    <w:p w:rsidR="00A910F8" w:rsidRDefault="00E07596">
      <w:pPr>
        <w:pStyle w:val="2"/>
        <w:spacing w:before="20" w:after="20" w:line="240" w:lineRule="auto"/>
        <w:rPr>
          <w:rFonts w:ascii="楷体" w:eastAsia="楷体" w:hAnsi="楷体" w:cs="楷体"/>
          <w:sz w:val="24"/>
          <w:szCs w:val="24"/>
        </w:rPr>
      </w:pPr>
      <w:bookmarkStart w:id="5" w:name="_Toc30697"/>
      <w:r>
        <w:rPr>
          <w:rFonts w:ascii="楷体" w:eastAsia="楷体" w:hAnsi="楷体" w:cs="楷体" w:hint="eastAsia"/>
          <w:sz w:val="24"/>
          <w:szCs w:val="24"/>
        </w:rPr>
        <w:t>（一）师资现状与发展</w:t>
      </w:r>
      <w:bookmarkEnd w:id="5"/>
    </w:p>
    <w:p w:rsidR="00A910F8" w:rsidRDefault="00E07596" w:rsidP="00D02887">
      <w:pPr>
        <w:widowControl/>
        <w:spacing w:line="500" w:lineRule="exact"/>
        <w:ind w:firstLineChars="200" w:firstLine="474"/>
        <w:jc w:val="left"/>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1.专任教师与兼职教师数量及结构（职称、学历、学位、年龄等）、教学团队建设情况</w:t>
      </w:r>
    </w:p>
    <w:p w:rsidR="00A910F8" w:rsidRDefault="00E07596">
      <w:pPr>
        <w:widowControl/>
        <w:adjustRightInd w:val="0"/>
        <w:snapToGrid w:val="0"/>
        <w:spacing w:line="500" w:lineRule="exact"/>
        <w:ind w:firstLineChars="200" w:firstLine="472"/>
        <w:rPr>
          <w:rFonts w:ascii="楷体" w:eastAsia="楷体" w:hAnsi="楷体" w:cs="楷体"/>
          <w:kern w:val="0"/>
          <w:sz w:val="24"/>
          <w:szCs w:val="24"/>
        </w:rPr>
      </w:pPr>
      <w:r>
        <w:rPr>
          <w:rFonts w:ascii="楷体" w:eastAsia="楷体" w:hAnsi="楷体" w:cs="楷体" w:hint="eastAsia"/>
          <w:kern w:val="0"/>
          <w:sz w:val="24"/>
          <w:szCs w:val="24"/>
        </w:rPr>
        <w:t>本专业有29名专业教师，教授4名，副教授5人，讲师20人。从年龄结构看，本专业教师主要是中青年教师为主，其中46%在35-45岁之间，大于45岁的4人，小于35岁的11人，见表2-1。此外，还聘请海外特聘教授讲授国际学科前言课程、企业或行业专家讲授实践和实务类课程。师资队伍总体数量结构合理，教师整体教学能力和学术水平能够满足教学需要。</w:t>
      </w:r>
    </w:p>
    <w:p w:rsidR="00A910F8" w:rsidRDefault="00E07596" w:rsidP="00D02887">
      <w:pPr>
        <w:widowControl/>
        <w:adjustRightInd w:val="0"/>
        <w:snapToGrid w:val="0"/>
        <w:spacing w:line="360" w:lineRule="auto"/>
        <w:ind w:rightChars="50" w:right="158" w:firstLineChars="200" w:firstLine="474"/>
        <w:jc w:val="center"/>
        <w:rPr>
          <w:rFonts w:ascii="楷体" w:eastAsia="楷体" w:hAnsi="楷体" w:cs="楷体"/>
          <w:b/>
          <w:bCs/>
          <w:sz w:val="24"/>
          <w:szCs w:val="24"/>
        </w:rPr>
      </w:pPr>
      <w:r>
        <w:rPr>
          <w:rFonts w:ascii="楷体" w:eastAsia="楷体" w:hAnsi="楷体" w:cs="楷体" w:hint="eastAsia"/>
          <w:b/>
          <w:bCs/>
          <w:sz w:val="24"/>
          <w:szCs w:val="24"/>
          <w:lang w:val="zh-CN"/>
        </w:rPr>
        <w:t>表2-1专业教师队伍结构表</w:t>
      </w:r>
    </w:p>
    <w:tbl>
      <w:tblPr>
        <w:tblW w:w="5000" w:type="pct"/>
        <w:jc w:val="center"/>
        <w:tblLook w:val="04A0" w:firstRow="1" w:lastRow="0" w:firstColumn="1" w:lastColumn="0" w:noHBand="0" w:noVBand="1"/>
      </w:tblPr>
      <w:tblGrid>
        <w:gridCol w:w="3084"/>
        <w:gridCol w:w="1060"/>
        <w:gridCol w:w="928"/>
        <w:gridCol w:w="1060"/>
        <w:gridCol w:w="928"/>
        <w:gridCol w:w="1060"/>
        <w:gridCol w:w="941"/>
      </w:tblGrid>
      <w:tr w:rsidR="00A910F8">
        <w:trPr>
          <w:trHeight w:val="454"/>
          <w:tblHeader/>
          <w:jc w:val="center"/>
        </w:trPr>
        <w:tc>
          <w:tcPr>
            <w:tcW w:w="2287" w:type="pct"/>
            <w:gridSpan w:val="2"/>
            <w:tcBorders>
              <w:top w:val="single" w:sz="6" w:space="0" w:color="000000"/>
              <w:left w:val="single" w:sz="6" w:space="0" w:color="000000"/>
              <w:bottom w:val="single" w:sz="6" w:space="0" w:color="000000"/>
              <w:right w:val="single" w:sz="6" w:space="0" w:color="000000"/>
            </w:tcBorders>
            <w:shd w:val="clear" w:color="auto" w:fill="E7E6E6"/>
            <w:vAlign w:val="center"/>
          </w:tcPr>
          <w:p w:rsidR="00A910F8" w:rsidRDefault="00E07596">
            <w:pPr>
              <w:widowControl/>
              <w:ind w:leftChars="-50" w:left="-158" w:rightChars="-50" w:right="-158"/>
              <w:jc w:val="center"/>
              <w:rPr>
                <w:rFonts w:ascii="楷体" w:eastAsia="楷体" w:hAnsi="楷体" w:cs="楷体"/>
                <w:b/>
                <w:color w:val="000000"/>
                <w:kern w:val="0"/>
                <w:sz w:val="24"/>
                <w:szCs w:val="24"/>
                <w:lang w:val="zh-CN"/>
              </w:rPr>
            </w:pPr>
            <w:r>
              <w:rPr>
                <w:rFonts w:ascii="楷体" w:eastAsia="楷体" w:hAnsi="楷体" w:cs="楷体" w:hint="eastAsia"/>
                <w:b/>
                <w:color w:val="000000"/>
                <w:kern w:val="0"/>
                <w:sz w:val="24"/>
                <w:szCs w:val="24"/>
                <w:lang w:val="zh-CN"/>
              </w:rPr>
              <w:t>教师中具有博士学位者比例</w:t>
            </w:r>
          </w:p>
        </w:tc>
        <w:tc>
          <w:tcPr>
            <w:tcW w:w="512" w:type="pct"/>
            <w:tcBorders>
              <w:top w:val="single" w:sz="6" w:space="0" w:color="000000"/>
              <w:left w:val="single" w:sz="6" w:space="0" w:color="000000"/>
              <w:bottom w:val="single" w:sz="6" w:space="0" w:color="000000"/>
              <w:right w:val="single" w:sz="6" w:space="0" w:color="000000"/>
            </w:tcBorders>
            <w:shd w:val="clear" w:color="auto" w:fill="E7E6E6"/>
            <w:vAlign w:val="center"/>
          </w:tcPr>
          <w:p w:rsidR="00A910F8" w:rsidRDefault="00E07596">
            <w:pPr>
              <w:widowControl/>
              <w:ind w:leftChars="-50" w:left="-158" w:rightChars="-50" w:right="-158"/>
              <w:jc w:val="center"/>
              <w:rPr>
                <w:rFonts w:ascii="楷体" w:eastAsia="楷体" w:hAnsi="楷体" w:cs="楷体"/>
                <w:b/>
                <w:color w:val="000000"/>
                <w:kern w:val="0"/>
                <w:sz w:val="24"/>
                <w:szCs w:val="24"/>
                <w:lang w:val="zh-CN"/>
              </w:rPr>
            </w:pPr>
            <w:r>
              <w:rPr>
                <w:rFonts w:ascii="楷体" w:eastAsia="楷体" w:hAnsi="楷体" w:cs="楷体" w:hint="eastAsia"/>
                <w:b/>
                <w:color w:val="000000"/>
                <w:kern w:val="0"/>
                <w:sz w:val="24"/>
                <w:szCs w:val="24"/>
                <w:lang w:val="zh-CN"/>
              </w:rPr>
              <w:t>93%</w:t>
            </w:r>
          </w:p>
        </w:tc>
        <w:tc>
          <w:tcPr>
            <w:tcW w:w="1682" w:type="pct"/>
            <w:gridSpan w:val="3"/>
            <w:tcBorders>
              <w:top w:val="single" w:sz="6" w:space="0" w:color="000000"/>
              <w:left w:val="single" w:sz="6" w:space="0" w:color="000000"/>
              <w:bottom w:val="single" w:sz="6" w:space="0" w:color="000000"/>
              <w:right w:val="single" w:sz="6" w:space="0" w:color="000000"/>
            </w:tcBorders>
            <w:shd w:val="clear" w:color="auto" w:fill="E7E6E6"/>
            <w:vAlign w:val="center"/>
          </w:tcPr>
          <w:p w:rsidR="00A910F8" w:rsidRDefault="00E07596">
            <w:pPr>
              <w:widowControl/>
              <w:ind w:leftChars="-50" w:left="-158" w:rightChars="-50" w:right="-158"/>
              <w:jc w:val="center"/>
              <w:rPr>
                <w:rFonts w:ascii="楷体" w:eastAsia="楷体" w:hAnsi="楷体" w:cs="楷体"/>
                <w:b/>
                <w:color w:val="000000"/>
                <w:kern w:val="0"/>
                <w:sz w:val="24"/>
                <w:szCs w:val="24"/>
                <w:lang w:val="zh-CN"/>
              </w:rPr>
            </w:pPr>
            <w:r>
              <w:rPr>
                <w:rFonts w:ascii="楷体" w:eastAsia="楷体" w:hAnsi="楷体" w:cs="楷体" w:hint="eastAsia"/>
                <w:b/>
                <w:color w:val="000000"/>
                <w:kern w:val="0"/>
                <w:sz w:val="24"/>
                <w:szCs w:val="24"/>
                <w:lang w:val="zh-CN"/>
              </w:rPr>
              <w:t>教师中具有博、硕士学位比例</w:t>
            </w:r>
          </w:p>
        </w:tc>
        <w:tc>
          <w:tcPr>
            <w:tcW w:w="519" w:type="pct"/>
            <w:tcBorders>
              <w:top w:val="single" w:sz="6" w:space="0" w:color="000000"/>
              <w:left w:val="single" w:sz="6" w:space="0" w:color="000000"/>
              <w:bottom w:val="single" w:sz="6" w:space="0" w:color="000000"/>
              <w:right w:val="single" w:sz="6" w:space="0" w:color="000000"/>
            </w:tcBorders>
            <w:shd w:val="clear" w:color="auto" w:fill="E7E6E6"/>
            <w:vAlign w:val="center"/>
          </w:tcPr>
          <w:p w:rsidR="00A910F8" w:rsidRDefault="00E07596">
            <w:pPr>
              <w:widowControl/>
              <w:ind w:leftChars="-50" w:left="-158" w:rightChars="-50" w:right="-158"/>
              <w:jc w:val="center"/>
              <w:rPr>
                <w:rFonts w:ascii="楷体" w:eastAsia="楷体" w:hAnsi="楷体" w:cs="楷体"/>
                <w:b/>
                <w:color w:val="000000"/>
                <w:kern w:val="0"/>
                <w:sz w:val="24"/>
                <w:szCs w:val="24"/>
                <w:lang w:val="zh-CN"/>
              </w:rPr>
            </w:pPr>
            <w:r>
              <w:rPr>
                <w:rFonts w:ascii="楷体" w:eastAsia="楷体" w:hAnsi="楷体" w:cs="楷体" w:hint="eastAsia"/>
                <w:b/>
                <w:color w:val="000000"/>
                <w:kern w:val="0"/>
                <w:sz w:val="24"/>
                <w:szCs w:val="24"/>
                <w:lang w:val="zh-CN"/>
              </w:rPr>
              <w:t>100%</w:t>
            </w:r>
          </w:p>
        </w:tc>
      </w:tr>
      <w:tr w:rsidR="00A910F8">
        <w:trPr>
          <w:trHeight w:val="454"/>
          <w:tblHeader/>
          <w:jc w:val="center"/>
        </w:trPr>
        <w:tc>
          <w:tcPr>
            <w:tcW w:w="1702"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lang w:val="zh-CN"/>
              </w:rPr>
              <w:t>专业技术职务</w:t>
            </w:r>
          </w:p>
        </w:tc>
        <w:tc>
          <w:tcPr>
            <w:tcW w:w="585"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lang w:val="zh-CN"/>
              </w:rPr>
              <w:t>人数</w:t>
            </w:r>
          </w:p>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lang w:val="zh-CN"/>
              </w:rPr>
              <w:t>合计</w:t>
            </w:r>
          </w:p>
        </w:tc>
        <w:tc>
          <w:tcPr>
            <w:tcW w:w="512"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35</w:t>
            </w:r>
            <w:r>
              <w:rPr>
                <w:rFonts w:ascii="楷体" w:eastAsia="楷体" w:hAnsi="楷体" w:cs="楷体" w:hint="eastAsia"/>
                <w:sz w:val="24"/>
                <w:szCs w:val="24"/>
                <w:lang w:val="zh-CN"/>
              </w:rPr>
              <w:t>岁</w:t>
            </w:r>
          </w:p>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lang w:val="zh-CN"/>
              </w:rPr>
              <w:t>以下</w:t>
            </w:r>
          </w:p>
        </w:tc>
        <w:tc>
          <w:tcPr>
            <w:tcW w:w="585"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36</w:t>
            </w:r>
            <w:r>
              <w:rPr>
                <w:rFonts w:ascii="楷体" w:eastAsia="楷体" w:hAnsi="楷体" w:cs="楷体" w:hint="eastAsia"/>
                <w:sz w:val="24"/>
                <w:szCs w:val="24"/>
                <w:lang w:val="zh-CN"/>
              </w:rPr>
              <w:t>至</w:t>
            </w:r>
          </w:p>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45</w:t>
            </w:r>
            <w:r>
              <w:rPr>
                <w:rFonts w:ascii="楷体" w:eastAsia="楷体" w:hAnsi="楷体" w:cs="楷体" w:hint="eastAsia"/>
                <w:sz w:val="24"/>
                <w:szCs w:val="24"/>
                <w:lang w:val="zh-CN"/>
              </w:rPr>
              <w:t>岁</w:t>
            </w:r>
          </w:p>
        </w:tc>
        <w:tc>
          <w:tcPr>
            <w:tcW w:w="512"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46</w:t>
            </w:r>
            <w:r>
              <w:rPr>
                <w:rFonts w:ascii="楷体" w:eastAsia="楷体" w:hAnsi="楷体" w:cs="楷体" w:hint="eastAsia"/>
                <w:sz w:val="24"/>
                <w:szCs w:val="24"/>
                <w:lang w:val="zh-CN"/>
              </w:rPr>
              <w:t>至</w:t>
            </w:r>
          </w:p>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55</w:t>
            </w:r>
            <w:r>
              <w:rPr>
                <w:rFonts w:ascii="楷体" w:eastAsia="楷体" w:hAnsi="楷体" w:cs="楷体" w:hint="eastAsia"/>
                <w:sz w:val="24"/>
                <w:szCs w:val="24"/>
                <w:lang w:val="zh-CN"/>
              </w:rPr>
              <w:t>岁</w:t>
            </w:r>
          </w:p>
        </w:tc>
        <w:tc>
          <w:tcPr>
            <w:tcW w:w="585"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56</w:t>
            </w:r>
            <w:r>
              <w:rPr>
                <w:rFonts w:ascii="楷体" w:eastAsia="楷体" w:hAnsi="楷体" w:cs="楷体" w:hint="eastAsia"/>
                <w:sz w:val="24"/>
                <w:szCs w:val="24"/>
                <w:lang w:val="zh-CN"/>
              </w:rPr>
              <w:t>至</w:t>
            </w:r>
          </w:p>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60</w:t>
            </w:r>
            <w:r>
              <w:rPr>
                <w:rFonts w:ascii="楷体" w:eastAsia="楷体" w:hAnsi="楷体" w:cs="楷体" w:hint="eastAsia"/>
                <w:sz w:val="24"/>
                <w:szCs w:val="24"/>
                <w:lang w:val="zh-CN"/>
              </w:rPr>
              <w:t>岁</w:t>
            </w:r>
          </w:p>
        </w:tc>
        <w:tc>
          <w:tcPr>
            <w:tcW w:w="519"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61</w:t>
            </w:r>
            <w:r>
              <w:rPr>
                <w:rFonts w:ascii="楷体" w:eastAsia="楷体" w:hAnsi="楷体" w:cs="楷体" w:hint="eastAsia"/>
                <w:sz w:val="24"/>
                <w:szCs w:val="24"/>
                <w:lang w:val="zh-CN"/>
              </w:rPr>
              <w:t>岁</w:t>
            </w:r>
          </w:p>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lang w:val="zh-CN"/>
              </w:rPr>
              <w:t>以上</w:t>
            </w:r>
          </w:p>
        </w:tc>
      </w:tr>
      <w:tr w:rsidR="00A910F8">
        <w:trPr>
          <w:trHeight w:val="454"/>
          <w:jc w:val="center"/>
        </w:trPr>
        <w:tc>
          <w:tcPr>
            <w:tcW w:w="1702"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lang w:val="zh-CN"/>
              </w:rPr>
              <w:t>教授（或相当专业技术职务者）</w:t>
            </w:r>
          </w:p>
        </w:tc>
        <w:tc>
          <w:tcPr>
            <w:tcW w:w="585"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3</w:t>
            </w:r>
          </w:p>
        </w:tc>
        <w:tc>
          <w:tcPr>
            <w:tcW w:w="512" w:type="pct"/>
            <w:tcBorders>
              <w:top w:val="single" w:sz="6" w:space="0" w:color="000000"/>
              <w:left w:val="single" w:sz="6" w:space="0" w:color="000000"/>
              <w:bottom w:val="single" w:sz="6" w:space="0" w:color="000000"/>
              <w:right w:val="single" w:sz="6" w:space="0" w:color="000000"/>
            </w:tcBorders>
            <w:vAlign w:val="center"/>
          </w:tcPr>
          <w:p w:rsidR="00A910F8" w:rsidRDefault="00A910F8">
            <w:pPr>
              <w:autoSpaceDE w:val="0"/>
              <w:autoSpaceDN w:val="0"/>
              <w:adjustRightInd w:val="0"/>
              <w:ind w:leftChars="-50" w:left="-158" w:rightChars="-50" w:right="-158"/>
              <w:jc w:val="center"/>
              <w:rPr>
                <w:rFonts w:ascii="楷体" w:eastAsia="楷体" w:hAnsi="楷体" w:cs="楷体"/>
                <w:sz w:val="24"/>
                <w:szCs w:val="24"/>
              </w:rPr>
            </w:pPr>
          </w:p>
        </w:tc>
        <w:tc>
          <w:tcPr>
            <w:tcW w:w="585"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1</w:t>
            </w:r>
          </w:p>
        </w:tc>
        <w:tc>
          <w:tcPr>
            <w:tcW w:w="512"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3</w:t>
            </w:r>
          </w:p>
        </w:tc>
        <w:tc>
          <w:tcPr>
            <w:tcW w:w="585" w:type="pct"/>
            <w:tcBorders>
              <w:top w:val="single" w:sz="6" w:space="0" w:color="000000"/>
              <w:left w:val="single" w:sz="6" w:space="0" w:color="000000"/>
              <w:bottom w:val="single" w:sz="6" w:space="0" w:color="000000"/>
              <w:right w:val="single" w:sz="6" w:space="0" w:color="000000"/>
            </w:tcBorders>
            <w:vAlign w:val="center"/>
          </w:tcPr>
          <w:p w:rsidR="00A910F8" w:rsidRDefault="00A910F8">
            <w:pPr>
              <w:autoSpaceDE w:val="0"/>
              <w:autoSpaceDN w:val="0"/>
              <w:adjustRightInd w:val="0"/>
              <w:ind w:leftChars="-50" w:left="-158" w:rightChars="-50" w:right="-158"/>
              <w:jc w:val="center"/>
              <w:rPr>
                <w:rFonts w:ascii="楷体" w:eastAsia="楷体" w:hAnsi="楷体" w:cs="楷体"/>
                <w:sz w:val="24"/>
                <w:szCs w:val="24"/>
              </w:rPr>
            </w:pPr>
          </w:p>
        </w:tc>
        <w:tc>
          <w:tcPr>
            <w:tcW w:w="519" w:type="pct"/>
            <w:tcBorders>
              <w:top w:val="single" w:sz="6" w:space="0" w:color="000000"/>
              <w:left w:val="single" w:sz="6" w:space="0" w:color="000000"/>
              <w:bottom w:val="single" w:sz="6" w:space="0" w:color="000000"/>
              <w:right w:val="single" w:sz="6" w:space="0" w:color="000000"/>
            </w:tcBorders>
            <w:vAlign w:val="center"/>
          </w:tcPr>
          <w:p w:rsidR="00A910F8" w:rsidRDefault="00A910F8">
            <w:pPr>
              <w:autoSpaceDE w:val="0"/>
              <w:autoSpaceDN w:val="0"/>
              <w:adjustRightInd w:val="0"/>
              <w:ind w:leftChars="-50" w:left="-158" w:rightChars="-50" w:right="-158"/>
              <w:jc w:val="center"/>
              <w:rPr>
                <w:rFonts w:ascii="楷体" w:eastAsia="楷体" w:hAnsi="楷体" w:cs="楷体"/>
                <w:sz w:val="24"/>
                <w:szCs w:val="24"/>
              </w:rPr>
            </w:pPr>
          </w:p>
        </w:tc>
      </w:tr>
      <w:tr w:rsidR="00A910F8">
        <w:trPr>
          <w:trHeight w:val="454"/>
          <w:jc w:val="center"/>
        </w:trPr>
        <w:tc>
          <w:tcPr>
            <w:tcW w:w="1702"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lang w:val="zh-CN"/>
              </w:rPr>
              <w:t>副教授（或相当专业技术职务者）</w:t>
            </w:r>
          </w:p>
        </w:tc>
        <w:tc>
          <w:tcPr>
            <w:tcW w:w="585"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5</w:t>
            </w:r>
          </w:p>
        </w:tc>
        <w:tc>
          <w:tcPr>
            <w:tcW w:w="512" w:type="pct"/>
            <w:tcBorders>
              <w:top w:val="single" w:sz="6" w:space="0" w:color="000000"/>
              <w:left w:val="single" w:sz="6" w:space="0" w:color="000000"/>
              <w:bottom w:val="single" w:sz="6" w:space="0" w:color="000000"/>
              <w:right w:val="single" w:sz="6" w:space="0" w:color="000000"/>
            </w:tcBorders>
            <w:vAlign w:val="center"/>
          </w:tcPr>
          <w:p w:rsidR="00A910F8" w:rsidRDefault="00A910F8">
            <w:pPr>
              <w:autoSpaceDE w:val="0"/>
              <w:autoSpaceDN w:val="0"/>
              <w:adjustRightInd w:val="0"/>
              <w:ind w:leftChars="-50" w:left="-158" w:rightChars="-50" w:right="-158"/>
              <w:jc w:val="center"/>
              <w:rPr>
                <w:rFonts w:ascii="楷体" w:eastAsia="楷体" w:hAnsi="楷体" w:cs="楷体"/>
                <w:sz w:val="24"/>
                <w:szCs w:val="24"/>
              </w:rPr>
            </w:pPr>
          </w:p>
        </w:tc>
        <w:tc>
          <w:tcPr>
            <w:tcW w:w="585"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3</w:t>
            </w:r>
          </w:p>
        </w:tc>
        <w:tc>
          <w:tcPr>
            <w:tcW w:w="512"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2</w:t>
            </w:r>
          </w:p>
        </w:tc>
        <w:tc>
          <w:tcPr>
            <w:tcW w:w="585"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0</w:t>
            </w:r>
          </w:p>
        </w:tc>
        <w:tc>
          <w:tcPr>
            <w:tcW w:w="519"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0</w:t>
            </w:r>
          </w:p>
        </w:tc>
      </w:tr>
      <w:tr w:rsidR="00A910F8">
        <w:trPr>
          <w:trHeight w:val="454"/>
          <w:jc w:val="center"/>
        </w:trPr>
        <w:tc>
          <w:tcPr>
            <w:tcW w:w="1702"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lang w:val="zh-CN"/>
              </w:rPr>
              <w:t>讲师（或相当专业技术职务者）</w:t>
            </w:r>
          </w:p>
        </w:tc>
        <w:tc>
          <w:tcPr>
            <w:tcW w:w="585"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20</w:t>
            </w:r>
          </w:p>
        </w:tc>
        <w:tc>
          <w:tcPr>
            <w:tcW w:w="512"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11</w:t>
            </w:r>
          </w:p>
        </w:tc>
        <w:tc>
          <w:tcPr>
            <w:tcW w:w="585"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9</w:t>
            </w:r>
          </w:p>
        </w:tc>
        <w:tc>
          <w:tcPr>
            <w:tcW w:w="512"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0</w:t>
            </w:r>
          </w:p>
        </w:tc>
        <w:tc>
          <w:tcPr>
            <w:tcW w:w="585"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0</w:t>
            </w:r>
          </w:p>
        </w:tc>
        <w:tc>
          <w:tcPr>
            <w:tcW w:w="519" w:type="pct"/>
            <w:tcBorders>
              <w:top w:val="single" w:sz="6" w:space="0" w:color="000000"/>
              <w:left w:val="single" w:sz="6" w:space="0" w:color="000000"/>
              <w:bottom w:val="single" w:sz="6" w:space="0" w:color="000000"/>
              <w:right w:val="single" w:sz="6" w:space="0" w:color="000000"/>
            </w:tcBorders>
            <w:vAlign w:val="center"/>
          </w:tcPr>
          <w:p w:rsidR="00A910F8" w:rsidRDefault="00E07596">
            <w:pPr>
              <w:autoSpaceDE w:val="0"/>
              <w:autoSpaceDN w:val="0"/>
              <w:adjustRightInd w:val="0"/>
              <w:ind w:leftChars="-50" w:left="-158" w:rightChars="-50" w:right="-158"/>
              <w:jc w:val="center"/>
              <w:rPr>
                <w:rFonts w:ascii="楷体" w:eastAsia="楷体" w:hAnsi="楷体" w:cs="楷体"/>
                <w:sz w:val="24"/>
                <w:szCs w:val="24"/>
              </w:rPr>
            </w:pPr>
            <w:r>
              <w:rPr>
                <w:rFonts w:ascii="楷体" w:eastAsia="楷体" w:hAnsi="楷体" w:cs="楷体" w:hint="eastAsia"/>
                <w:sz w:val="24"/>
                <w:szCs w:val="24"/>
              </w:rPr>
              <w:t>0</w:t>
            </w:r>
          </w:p>
        </w:tc>
      </w:tr>
    </w:tbl>
    <w:p w:rsidR="00A910F8" w:rsidRDefault="00E07596">
      <w:pPr>
        <w:widowControl/>
        <w:spacing w:line="500" w:lineRule="exact"/>
        <w:ind w:firstLineChars="200" w:firstLine="472"/>
        <w:jc w:val="left"/>
        <w:rPr>
          <w:rFonts w:ascii="楷体" w:eastAsia="楷体" w:hAnsi="楷体" w:cs="楷体"/>
          <w:color w:val="000000"/>
          <w:kern w:val="0"/>
          <w:sz w:val="24"/>
          <w:szCs w:val="24"/>
        </w:rPr>
      </w:pPr>
      <w:r>
        <w:rPr>
          <w:rFonts w:ascii="楷体" w:eastAsia="楷体" w:hAnsi="楷体" w:cs="楷体" w:hint="eastAsia"/>
          <w:color w:val="000000"/>
          <w:kern w:val="0"/>
          <w:sz w:val="24"/>
          <w:szCs w:val="24"/>
        </w:rPr>
        <w:t>兼职教师队伍对于应用型本科髙校的专业建设、应用型人才培养等方面有重要的提升作用，也是改善师资队伍结构、提高综合实力的重要力量。国际经济与贸易专业除专任教师外，还聘请海内外其它高校知名学者和实践经验丰富的行业专家作为本专业兼职教师（见附表2-2）。目前本专业有两名海外名师，分别开设国际商务分析（全英）和国际投资学（全英）课程，听课学生累计达到200人次。兼职教师主要来自于学院的产学研基地和商贸类企业，他们通过业界专家进课堂、参与实务专题课的讲授等方式，为本专业学生介绍行业前沿及实务技能。</w:t>
      </w:r>
    </w:p>
    <w:p w:rsidR="00A910F8" w:rsidRDefault="00E07596" w:rsidP="00D02887">
      <w:pPr>
        <w:widowControl/>
        <w:spacing w:line="500" w:lineRule="exact"/>
        <w:ind w:firstLineChars="200" w:firstLine="474"/>
        <w:jc w:val="center"/>
        <w:rPr>
          <w:rFonts w:ascii="楷体" w:eastAsia="楷体" w:hAnsi="楷体" w:cs="楷体"/>
          <w:color w:val="000000"/>
          <w:kern w:val="0"/>
          <w:sz w:val="24"/>
          <w:szCs w:val="24"/>
        </w:rPr>
      </w:pPr>
      <w:r>
        <w:rPr>
          <w:rFonts w:ascii="楷体" w:eastAsia="楷体" w:hAnsi="楷体" w:cs="楷体" w:hint="eastAsia"/>
          <w:b/>
          <w:bCs/>
          <w:color w:val="000000"/>
          <w:kern w:val="0"/>
          <w:sz w:val="24"/>
          <w:szCs w:val="24"/>
        </w:rPr>
        <w:lastRenderedPageBreak/>
        <w:t xml:space="preserve">表2-2 </w:t>
      </w:r>
      <w:r>
        <w:rPr>
          <w:rFonts w:ascii="楷体" w:eastAsia="楷体" w:hAnsi="楷体" w:cs="楷体" w:hint="eastAsia"/>
          <w:b/>
          <w:bCs/>
          <w:sz w:val="24"/>
          <w:szCs w:val="24"/>
        </w:rPr>
        <w:t>国际经济与贸易专业部分高层次兼职教师基本情况表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3199"/>
        <w:gridCol w:w="2327"/>
        <w:gridCol w:w="1943"/>
      </w:tblGrid>
      <w:tr w:rsidR="00A910F8">
        <w:trPr>
          <w:trHeight w:val="524"/>
          <w:tblHeader/>
        </w:trPr>
        <w:tc>
          <w:tcPr>
            <w:tcW w:w="879" w:type="pct"/>
            <w:shd w:val="clear" w:color="auto" w:fill="E8E6E6"/>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姓名</w:t>
            </w:r>
          </w:p>
        </w:tc>
        <w:tc>
          <w:tcPr>
            <w:tcW w:w="1765" w:type="pct"/>
            <w:shd w:val="clear" w:color="auto" w:fill="E8E6E6"/>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单位</w:t>
            </w:r>
          </w:p>
        </w:tc>
        <w:tc>
          <w:tcPr>
            <w:tcW w:w="1284" w:type="pct"/>
            <w:shd w:val="clear" w:color="auto" w:fill="E8E6E6"/>
            <w:noWrap/>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职务</w:t>
            </w:r>
          </w:p>
        </w:tc>
        <w:tc>
          <w:tcPr>
            <w:tcW w:w="1072" w:type="pct"/>
            <w:shd w:val="clear" w:color="auto" w:fill="E8E6E6"/>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所授课程</w:t>
            </w:r>
          </w:p>
        </w:tc>
      </w:tr>
      <w:tr w:rsidR="00A910F8">
        <w:trPr>
          <w:trHeight w:val="300"/>
        </w:trPr>
        <w:tc>
          <w:tcPr>
            <w:tcW w:w="879"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sz w:val="24"/>
                <w:szCs w:val="24"/>
              </w:rPr>
              <w:t>李天宝</w:t>
            </w:r>
          </w:p>
        </w:tc>
        <w:tc>
          <w:tcPr>
            <w:tcW w:w="1765"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sz w:val="24"/>
                <w:szCs w:val="24"/>
              </w:rPr>
              <w:t>美国尼亚加拉大学</w:t>
            </w:r>
          </w:p>
        </w:tc>
        <w:tc>
          <w:tcPr>
            <w:tcW w:w="1284" w:type="pct"/>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sz w:val="24"/>
                <w:szCs w:val="24"/>
              </w:rPr>
              <w:t>海外名师、特聘教授</w:t>
            </w:r>
          </w:p>
        </w:tc>
        <w:tc>
          <w:tcPr>
            <w:tcW w:w="1072" w:type="pct"/>
          </w:tcPr>
          <w:p w:rsidR="00A910F8" w:rsidRDefault="00E07596">
            <w:pPr>
              <w:widowControl/>
              <w:jc w:val="center"/>
              <w:rPr>
                <w:rFonts w:ascii="楷体" w:eastAsia="楷体" w:hAnsi="楷体" w:cs="楷体"/>
                <w:sz w:val="24"/>
                <w:szCs w:val="24"/>
              </w:rPr>
            </w:pPr>
            <w:r>
              <w:rPr>
                <w:rFonts w:ascii="楷体" w:eastAsia="楷体" w:hAnsi="楷体" w:cs="楷体" w:hint="eastAsia"/>
                <w:sz w:val="24"/>
                <w:szCs w:val="24"/>
              </w:rPr>
              <w:t>国际商务（全英）</w:t>
            </w:r>
          </w:p>
        </w:tc>
      </w:tr>
      <w:tr w:rsidR="00A910F8">
        <w:trPr>
          <w:trHeight w:val="300"/>
        </w:trPr>
        <w:tc>
          <w:tcPr>
            <w:tcW w:w="879" w:type="pct"/>
          </w:tcPr>
          <w:p w:rsidR="00A910F8" w:rsidRDefault="00E07596">
            <w:pPr>
              <w:tabs>
                <w:tab w:val="left" w:pos="0"/>
              </w:tabs>
              <w:jc w:val="center"/>
              <w:rPr>
                <w:rFonts w:ascii="楷体" w:eastAsia="楷体" w:hAnsi="楷体" w:cs="楷体"/>
                <w:color w:val="000000"/>
                <w:kern w:val="0"/>
                <w:sz w:val="24"/>
                <w:szCs w:val="24"/>
              </w:rPr>
            </w:pPr>
            <w:proofErr w:type="spellStart"/>
            <w:r>
              <w:rPr>
                <w:rFonts w:ascii="楷体" w:eastAsia="楷体" w:hAnsi="楷体" w:cs="楷体" w:hint="eastAsia"/>
                <w:sz w:val="24"/>
                <w:szCs w:val="24"/>
              </w:rPr>
              <w:t>Sajid</w:t>
            </w:r>
            <w:proofErr w:type="spellEnd"/>
            <w:r>
              <w:rPr>
                <w:rFonts w:ascii="楷体" w:eastAsia="楷体" w:hAnsi="楷体" w:cs="楷体" w:hint="eastAsia"/>
                <w:sz w:val="24"/>
                <w:szCs w:val="24"/>
              </w:rPr>
              <w:t xml:space="preserve"> Anwar</w:t>
            </w:r>
          </w:p>
        </w:tc>
        <w:tc>
          <w:tcPr>
            <w:tcW w:w="1765"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sz w:val="24"/>
                <w:szCs w:val="24"/>
              </w:rPr>
              <w:t>澳大利亚阳光海岸大学商学院</w:t>
            </w:r>
          </w:p>
        </w:tc>
        <w:tc>
          <w:tcPr>
            <w:tcW w:w="1284" w:type="pct"/>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sz w:val="24"/>
                <w:szCs w:val="24"/>
              </w:rPr>
              <w:t>海外名师、特聘教授</w:t>
            </w:r>
          </w:p>
        </w:tc>
        <w:tc>
          <w:tcPr>
            <w:tcW w:w="1072" w:type="pct"/>
          </w:tcPr>
          <w:p w:rsidR="00A910F8" w:rsidRDefault="00E07596">
            <w:pPr>
              <w:widowControl/>
              <w:rPr>
                <w:rFonts w:ascii="楷体" w:eastAsia="楷体" w:hAnsi="楷体" w:cs="楷体"/>
                <w:sz w:val="24"/>
                <w:szCs w:val="24"/>
              </w:rPr>
            </w:pPr>
            <w:r>
              <w:rPr>
                <w:rFonts w:ascii="楷体" w:eastAsia="楷体" w:hAnsi="楷体" w:cs="楷体" w:hint="eastAsia"/>
                <w:sz w:val="24"/>
                <w:szCs w:val="24"/>
              </w:rPr>
              <w:t>国际投资学（全英）</w:t>
            </w:r>
          </w:p>
        </w:tc>
      </w:tr>
      <w:tr w:rsidR="00A910F8">
        <w:trPr>
          <w:trHeight w:val="300"/>
        </w:trPr>
        <w:tc>
          <w:tcPr>
            <w:tcW w:w="879"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沈晨</w:t>
            </w:r>
          </w:p>
        </w:tc>
        <w:tc>
          <w:tcPr>
            <w:tcW w:w="1765"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高级业务副总裁</w:t>
            </w:r>
          </w:p>
        </w:tc>
        <w:tc>
          <w:tcPr>
            <w:tcW w:w="1284" w:type="pct"/>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高级业务副总裁</w:t>
            </w:r>
          </w:p>
        </w:tc>
        <w:tc>
          <w:tcPr>
            <w:tcW w:w="107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财经中国</w:t>
            </w:r>
          </w:p>
        </w:tc>
      </w:tr>
      <w:tr w:rsidR="00A910F8">
        <w:trPr>
          <w:trHeight w:val="300"/>
        </w:trPr>
        <w:tc>
          <w:tcPr>
            <w:tcW w:w="879"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畅会珏</w:t>
            </w:r>
          </w:p>
        </w:tc>
        <w:tc>
          <w:tcPr>
            <w:tcW w:w="1765"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上海证券资产管理部</w:t>
            </w:r>
          </w:p>
        </w:tc>
        <w:tc>
          <w:tcPr>
            <w:tcW w:w="1284" w:type="pct"/>
            <w:noWrap/>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color w:val="000000"/>
                <w:sz w:val="24"/>
                <w:szCs w:val="24"/>
              </w:rPr>
              <w:t>总经理</w:t>
            </w:r>
          </w:p>
        </w:tc>
        <w:tc>
          <w:tcPr>
            <w:tcW w:w="107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财经中国</w:t>
            </w:r>
          </w:p>
        </w:tc>
      </w:tr>
      <w:tr w:rsidR="00A910F8">
        <w:trPr>
          <w:trHeight w:val="300"/>
        </w:trPr>
        <w:tc>
          <w:tcPr>
            <w:tcW w:w="879"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唐建伟</w:t>
            </w:r>
          </w:p>
        </w:tc>
        <w:tc>
          <w:tcPr>
            <w:tcW w:w="1765"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交通银行金融研究中心</w:t>
            </w:r>
          </w:p>
        </w:tc>
        <w:tc>
          <w:tcPr>
            <w:tcW w:w="1284" w:type="pct"/>
            <w:noWrap/>
          </w:tcPr>
          <w:p w:rsidR="00A910F8" w:rsidRDefault="00E07596">
            <w:pPr>
              <w:widowControl/>
              <w:rPr>
                <w:rFonts w:ascii="楷体" w:eastAsia="楷体" w:hAnsi="楷体" w:cs="楷体"/>
                <w:color w:val="000000"/>
                <w:kern w:val="0"/>
                <w:sz w:val="24"/>
                <w:szCs w:val="24"/>
              </w:rPr>
            </w:pPr>
            <w:r>
              <w:rPr>
                <w:rFonts w:ascii="楷体" w:eastAsia="楷体" w:hAnsi="楷体" w:cs="楷体" w:hint="eastAsia"/>
                <w:color w:val="000000"/>
                <w:sz w:val="24"/>
                <w:szCs w:val="24"/>
              </w:rPr>
              <w:t>副总经理、首席研究员</w:t>
            </w:r>
          </w:p>
        </w:tc>
        <w:tc>
          <w:tcPr>
            <w:tcW w:w="107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财经中国</w:t>
            </w:r>
          </w:p>
        </w:tc>
      </w:tr>
      <w:tr w:rsidR="00A910F8">
        <w:trPr>
          <w:trHeight w:val="300"/>
        </w:trPr>
        <w:tc>
          <w:tcPr>
            <w:tcW w:w="879"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陆启星</w:t>
            </w:r>
          </w:p>
        </w:tc>
        <w:tc>
          <w:tcPr>
            <w:tcW w:w="1765"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浦东新区商务委员会</w:t>
            </w:r>
          </w:p>
        </w:tc>
        <w:tc>
          <w:tcPr>
            <w:tcW w:w="1284" w:type="pct"/>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副主任</w:t>
            </w:r>
          </w:p>
        </w:tc>
        <w:tc>
          <w:tcPr>
            <w:tcW w:w="107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中国对外贸易</w:t>
            </w:r>
          </w:p>
        </w:tc>
      </w:tr>
      <w:tr w:rsidR="00A910F8">
        <w:trPr>
          <w:trHeight w:val="300"/>
        </w:trPr>
        <w:tc>
          <w:tcPr>
            <w:tcW w:w="879"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刘静怡</w:t>
            </w:r>
          </w:p>
        </w:tc>
        <w:tc>
          <w:tcPr>
            <w:tcW w:w="1765"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浦东新区商务委员会</w:t>
            </w:r>
          </w:p>
        </w:tc>
        <w:tc>
          <w:tcPr>
            <w:tcW w:w="1284" w:type="pct"/>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外经贸处主任科员</w:t>
            </w:r>
          </w:p>
        </w:tc>
        <w:tc>
          <w:tcPr>
            <w:tcW w:w="107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中国对外贸易</w:t>
            </w:r>
          </w:p>
        </w:tc>
      </w:tr>
      <w:tr w:rsidR="00A910F8">
        <w:trPr>
          <w:trHeight w:val="300"/>
        </w:trPr>
        <w:tc>
          <w:tcPr>
            <w:tcW w:w="879"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向志鹏</w:t>
            </w:r>
          </w:p>
        </w:tc>
        <w:tc>
          <w:tcPr>
            <w:tcW w:w="1765"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江苏农华智慧农业科技股份有限公司</w:t>
            </w:r>
          </w:p>
        </w:tc>
        <w:tc>
          <w:tcPr>
            <w:tcW w:w="1284" w:type="pct"/>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董事长</w:t>
            </w:r>
          </w:p>
        </w:tc>
        <w:tc>
          <w:tcPr>
            <w:tcW w:w="1072" w:type="pct"/>
          </w:tcPr>
          <w:p w:rsidR="00A910F8" w:rsidRDefault="00E07596">
            <w:pPr>
              <w:widowControl/>
              <w:jc w:val="center"/>
              <w:rPr>
                <w:rFonts w:ascii="楷体" w:eastAsia="楷体" w:hAnsi="楷体" w:cs="楷体"/>
                <w:color w:val="000000"/>
                <w:sz w:val="24"/>
                <w:szCs w:val="24"/>
              </w:rPr>
            </w:pPr>
            <w:r>
              <w:rPr>
                <w:rFonts w:ascii="楷体" w:eastAsia="楷体" w:hAnsi="楷体" w:cs="楷体" w:hint="eastAsia"/>
                <w:color w:val="000000"/>
                <w:sz w:val="24"/>
                <w:szCs w:val="24"/>
              </w:rPr>
              <w:t>经贸实务前沿</w:t>
            </w:r>
          </w:p>
          <w:p w:rsidR="00A910F8" w:rsidRDefault="00A910F8">
            <w:pPr>
              <w:widowControl/>
              <w:jc w:val="center"/>
              <w:rPr>
                <w:rFonts w:ascii="楷体" w:eastAsia="楷体" w:hAnsi="楷体" w:cs="楷体"/>
                <w:color w:val="000000"/>
                <w:kern w:val="0"/>
                <w:sz w:val="24"/>
                <w:szCs w:val="24"/>
              </w:rPr>
            </w:pPr>
          </w:p>
        </w:tc>
      </w:tr>
      <w:tr w:rsidR="00A910F8">
        <w:trPr>
          <w:trHeight w:val="300"/>
        </w:trPr>
        <w:tc>
          <w:tcPr>
            <w:tcW w:w="879"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马泰峰</w:t>
            </w:r>
          </w:p>
        </w:tc>
        <w:tc>
          <w:tcPr>
            <w:tcW w:w="1765"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浙江两山融资租赁有限公司</w:t>
            </w:r>
          </w:p>
        </w:tc>
        <w:tc>
          <w:tcPr>
            <w:tcW w:w="1284" w:type="pct"/>
            <w:noWrap/>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总经理</w:t>
            </w:r>
          </w:p>
        </w:tc>
        <w:tc>
          <w:tcPr>
            <w:tcW w:w="107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sz w:val="24"/>
                <w:szCs w:val="24"/>
              </w:rPr>
              <w:t>经贸实务前沿</w:t>
            </w:r>
          </w:p>
        </w:tc>
      </w:tr>
    </w:tbl>
    <w:p w:rsidR="00A910F8" w:rsidRDefault="00E07596">
      <w:pPr>
        <w:pStyle w:val="a6"/>
        <w:shd w:val="clear" w:color="auto" w:fill="FFFFFF"/>
        <w:spacing w:before="0" w:beforeAutospacing="0" w:after="0" w:afterAutospacing="0" w:line="500" w:lineRule="exact"/>
        <w:ind w:firstLineChars="200" w:firstLine="472"/>
        <w:jc w:val="both"/>
        <w:rPr>
          <w:rFonts w:ascii="楷体" w:eastAsia="楷体" w:hAnsi="楷体" w:cs="楷体"/>
        </w:rPr>
      </w:pPr>
      <w:r>
        <w:rPr>
          <w:rFonts w:ascii="楷体" w:eastAsia="楷体" w:hAnsi="楷体" w:cs="楷体" w:hint="eastAsia"/>
          <w:color w:val="333333"/>
        </w:rPr>
        <w:t>深入贯彻骨干教师激励计划制度，国际经济与贸易专业已经建成5支基础教学队伍，包括国际贸易实务教学团队、</w:t>
      </w:r>
      <w:r>
        <w:rPr>
          <w:rFonts w:ascii="楷体" w:eastAsia="楷体" w:hAnsi="楷体" w:cs="楷体" w:hint="eastAsia"/>
        </w:rPr>
        <w:t>国际贸易理论教学团队、国际经济学（全英语）教学团队、国际投资学教学团队和国际投资学（全英语）教学团队，目前正在专业教学领域发挥着巨大作用（参见表2-3）。</w:t>
      </w:r>
    </w:p>
    <w:p w:rsidR="00A910F8" w:rsidRDefault="00E07596">
      <w:pPr>
        <w:pStyle w:val="a6"/>
        <w:shd w:val="clear" w:color="auto" w:fill="FFFFFF"/>
        <w:spacing w:before="0" w:beforeAutospacing="0" w:after="0" w:afterAutospacing="0" w:line="360" w:lineRule="auto"/>
        <w:ind w:firstLine="360"/>
        <w:jc w:val="center"/>
        <w:rPr>
          <w:rFonts w:ascii="楷体" w:eastAsia="楷体" w:hAnsi="楷体" w:cs="楷体"/>
          <w:b/>
          <w:bCs/>
        </w:rPr>
      </w:pPr>
      <w:r>
        <w:rPr>
          <w:rFonts w:ascii="楷体" w:eastAsia="楷体" w:hAnsi="楷体" w:cs="楷体" w:hint="eastAsia"/>
          <w:b/>
          <w:bCs/>
        </w:rPr>
        <w:t>表2-3国际经济与贸易专业基础教学团队</w:t>
      </w: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1163"/>
        <w:gridCol w:w="4704"/>
      </w:tblGrid>
      <w:tr w:rsidR="00A910F8">
        <w:trPr>
          <w:trHeight w:val="473"/>
          <w:tblHeader/>
        </w:trPr>
        <w:tc>
          <w:tcPr>
            <w:tcW w:w="1762" w:type="pct"/>
            <w:shd w:val="clear" w:color="auto" w:fill="E7E6E6" w:themeFill="background2"/>
            <w:vAlign w:val="center"/>
          </w:tcPr>
          <w:p w:rsidR="00A910F8" w:rsidRDefault="00E07596">
            <w:pPr>
              <w:jc w:val="center"/>
              <w:rPr>
                <w:rFonts w:ascii="楷体" w:eastAsia="楷体" w:hAnsi="楷体" w:cs="楷体"/>
                <w:b/>
                <w:bCs/>
                <w:color w:val="333333"/>
                <w:kern w:val="0"/>
                <w:sz w:val="24"/>
                <w:szCs w:val="24"/>
              </w:rPr>
            </w:pPr>
            <w:r>
              <w:rPr>
                <w:rFonts w:ascii="楷体" w:eastAsia="楷体" w:hAnsi="楷体" w:cs="楷体" w:hint="eastAsia"/>
                <w:b/>
                <w:bCs/>
                <w:color w:val="333333"/>
                <w:kern w:val="0"/>
                <w:sz w:val="24"/>
                <w:szCs w:val="24"/>
              </w:rPr>
              <w:t>团队名称</w:t>
            </w:r>
          </w:p>
        </w:tc>
        <w:tc>
          <w:tcPr>
            <w:tcW w:w="642" w:type="pct"/>
            <w:shd w:val="clear" w:color="auto" w:fill="E7E6E6" w:themeFill="background2"/>
            <w:vAlign w:val="center"/>
          </w:tcPr>
          <w:p w:rsidR="00A910F8" w:rsidRDefault="00E07596">
            <w:pPr>
              <w:jc w:val="center"/>
              <w:rPr>
                <w:rFonts w:ascii="楷体" w:eastAsia="楷体" w:hAnsi="楷体" w:cs="楷体"/>
                <w:b/>
                <w:bCs/>
                <w:color w:val="333333"/>
                <w:kern w:val="0"/>
                <w:sz w:val="24"/>
                <w:szCs w:val="24"/>
              </w:rPr>
            </w:pPr>
            <w:r>
              <w:rPr>
                <w:rFonts w:ascii="楷体" w:eastAsia="楷体" w:hAnsi="楷体" w:cs="楷体" w:hint="eastAsia"/>
                <w:b/>
                <w:bCs/>
                <w:color w:val="333333"/>
                <w:kern w:val="0"/>
                <w:sz w:val="24"/>
                <w:szCs w:val="24"/>
              </w:rPr>
              <w:t>负责人</w:t>
            </w:r>
          </w:p>
        </w:tc>
        <w:tc>
          <w:tcPr>
            <w:tcW w:w="2596" w:type="pct"/>
            <w:shd w:val="clear" w:color="auto" w:fill="E7E6E6" w:themeFill="background2"/>
            <w:vAlign w:val="center"/>
          </w:tcPr>
          <w:p w:rsidR="00A910F8" w:rsidRDefault="00E07596">
            <w:pPr>
              <w:jc w:val="center"/>
              <w:rPr>
                <w:rFonts w:ascii="楷体" w:eastAsia="楷体" w:hAnsi="楷体" w:cs="楷体"/>
                <w:b/>
                <w:bCs/>
                <w:color w:val="333333"/>
                <w:kern w:val="0"/>
                <w:sz w:val="24"/>
                <w:szCs w:val="24"/>
              </w:rPr>
            </w:pPr>
            <w:r>
              <w:rPr>
                <w:rFonts w:ascii="楷体" w:eastAsia="楷体" w:hAnsi="楷体" w:cs="楷体" w:hint="eastAsia"/>
                <w:b/>
                <w:bCs/>
                <w:color w:val="333333"/>
                <w:kern w:val="0"/>
                <w:sz w:val="24"/>
                <w:szCs w:val="24"/>
              </w:rPr>
              <w:t>团队成员</w:t>
            </w:r>
          </w:p>
        </w:tc>
      </w:tr>
      <w:tr w:rsidR="00A910F8">
        <w:trPr>
          <w:trHeight w:val="582"/>
        </w:trPr>
        <w:tc>
          <w:tcPr>
            <w:tcW w:w="176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国际贸易实务教学团队</w:t>
            </w:r>
          </w:p>
        </w:tc>
        <w:tc>
          <w:tcPr>
            <w:tcW w:w="64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高鸣霞</w:t>
            </w:r>
          </w:p>
        </w:tc>
        <w:tc>
          <w:tcPr>
            <w:tcW w:w="2596"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孔炯炯、周茉、彭江燕、胡俊芳</w:t>
            </w:r>
          </w:p>
        </w:tc>
      </w:tr>
      <w:tr w:rsidR="00A910F8">
        <w:trPr>
          <w:trHeight w:val="734"/>
        </w:trPr>
        <w:tc>
          <w:tcPr>
            <w:tcW w:w="176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国际贸易理论教学团队</w:t>
            </w:r>
          </w:p>
        </w:tc>
        <w:tc>
          <w:tcPr>
            <w:tcW w:w="64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赵晓霞</w:t>
            </w:r>
          </w:p>
        </w:tc>
        <w:tc>
          <w:tcPr>
            <w:tcW w:w="2596" w:type="pct"/>
          </w:tcPr>
          <w:p w:rsidR="00A910F8" w:rsidRDefault="00E07596">
            <w:pPr>
              <w:widowControl/>
              <w:spacing w:line="400" w:lineRule="exact"/>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陈霜华、毕玉江、魏如青、</w:t>
            </w:r>
          </w:p>
          <w:p w:rsidR="00A910F8" w:rsidRDefault="00E07596">
            <w:pPr>
              <w:widowControl/>
              <w:spacing w:line="400" w:lineRule="exact"/>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孙蕾、金晓梅、马万超</w:t>
            </w:r>
          </w:p>
        </w:tc>
      </w:tr>
      <w:tr w:rsidR="00A910F8">
        <w:trPr>
          <w:trHeight w:val="522"/>
        </w:trPr>
        <w:tc>
          <w:tcPr>
            <w:tcW w:w="176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lastRenderedPageBreak/>
              <w:t>国际经济学（全英语）教学团队</w:t>
            </w:r>
          </w:p>
        </w:tc>
        <w:tc>
          <w:tcPr>
            <w:tcW w:w="64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赵大平</w:t>
            </w:r>
          </w:p>
        </w:tc>
        <w:tc>
          <w:tcPr>
            <w:tcW w:w="2596" w:type="pct"/>
          </w:tcPr>
          <w:p w:rsidR="00A910F8" w:rsidRDefault="00E07596">
            <w:pPr>
              <w:widowControl/>
              <w:spacing w:line="400" w:lineRule="exact"/>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张燕、刘婷婷、舒杏、姚瑶、罗子媛、</w:t>
            </w:r>
          </w:p>
          <w:p w:rsidR="00A910F8" w:rsidRDefault="00E07596">
            <w:pPr>
              <w:widowControl/>
              <w:spacing w:line="400" w:lineRule="exact"/>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孙继圣、孙好雨</w:t>
            </w:r>
          </w:p>
        </w:tc>
      </w:tr>
      <w:tr w:rsidR="00A910F8">
        <w:trPr>
          <w:trHeight w:val="631"/>
        </w:trPr>
        <w:tc>
          <w:tcPr>
            <w:tcW w:w="176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国际投资学（全英语）</w:t>
            </w:r>
          </w:p>
        </w:tc>
        <w:tc>
          <w:tcPr>
            <w:tcW w:w="64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杨勣</w:t>
            </w:r>
          </w:p>
        </w:tc>
        <w:tc>
          <w:tcPr>
            <w:tcW w:w="2596"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彭越、尹今格、郭钦鑫、许政</w:t>
            </w:r>
          </w:p>
        </w:tc>
      </w:tr>
      <w:tr w:rsidR="00A910F8">
        <w:trPr>
          <w:trHeight w:val="427"/>
        </w:trPr>
        <w:tc>
          <w:tcPr>
            <w:tcW w:w="176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国际投资学教学团队</w:t>
            </w:r>
          </w:p>
        </w:tc>
        <w:tc>
          <w:tcPr>
            <w:tcW w:w="642"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潘辉</w:t>
            </w:r>
          </w:p>
        </w:tc>
        <w:tc>
          <w:tcPr>
            <w:tcW w:w="2596" w:type="pct"/>
          </w:tcPr>
          <w:p w:rsidR="00A910F8" w:rsidRDefault="00E07596">
            <w:pPr>
              <w:widowControl/>
              <w:jc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蔡伟雄、高磊、李文霞、张海群</w:t>
            </w:r>
          </w:p>
        </w:tc>
      </w:tr>
    </w:tbl>
    <w:p w:rsidR="00A910F8" w:rsidRDefault="00E07596" w:rsidP="00D02887">
      <w:pPr>
        <w:widowControl/>
        <w:spacing w:line="500" w:lineRule="exact"/>
        <w:ind w:firstLineChars="200" w:firstLine="474"/>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2.学年度教师科研情况（立项、发表论文、出版教材、著作情况）、学年度教学研究和教学改革情况、学年度专业教师获奖情况</w:t>
      </w:r>
    </w:p>
    <w:p w:rsidR="00A910F8" w:rsidRDefault="00E07596">
      <w:pPr>
        <w:widowControl/>
        <w:spacing w:line="500" w:lineRule="exact"/>
        <w:ind w:firstLineChars="200" w:firstLine="472"/>
        <w:rPr>
          <w:rFonts w:ascii="楷体" w:eastAsia="楷体" w:hAnsi="楷体" w:cs="楷体"/>
          <w:color w:val="333333"/>
          <w:sz w:val="24"/>
          <w:szCs w:val="24"/>
        </w:rPr>
      </w:pPr>
      <w:r>
        <w:rPr>
          <w:rFonts w:ascii="楷体" w:eastAsia="楷体" w:hAnsi="楷体" w:cs="楷体" w:hint="eastAsia"/>
          <w:color w:val="333333"/>
          <w:sz w:val="24"/>
          <w:szCs w:val="24"/>
        </w:rPr>
        <w:t>国际经济与贸易专业的教师在完成教学工作的同时，积极参与科研和教学改革研究工作，以科研促进和支撑教学科研课题。2020-2021学年，国际经济与贸易专业专任教师的年度科研情况、教改研究情况和专业教师获奖情况见下文。</w:t>
      </w:r>
    </w:p>
    <w:p w:rsidR="00A910F8" w:rsidRDefault="00E07596" w:rsidP="00D02887">
      <w:pPr>
        <w:widowControl/>
        <w:spacing w:line="500" w:lineRule="exact"/>
        <w:ind w:firstLineChars="200" w:firstLine="474"/>
        <w:rPr>
          <w:rFonts w:ascii="楷体" w:eastAsia="楷体" w:hAnsi="楷体" w:cs="楷体"/>
          <w:color w:val="333333"/>
          <w:sz w:val="24"/>
          <w:szCs w:val="24"/>
        </w:rPr>
      </w:pPr>
      <w:r>
        <w:rPr>
          <w:rFonts w:ascii="楷体" w:eastAsia="楷体" w:hAnsi="楷体" w:cs="楷体" w:hint="eastAsia"/>
          <w:b/>
          <w:bCs/>
          <w:color w:val="333333"/>
          <w:sz w:val="24"/>
          <w:szCs w:val="24"/>
        </w:rPr>
        <w:t>科研成效：</w:t>
      </w:r>
      <w:r>
        <w:rPr>
          <w:rFonts w:ascii="楷体" w:eastAsia="楷体" w:hAnsi="楷体" w:cs="楷体" w:hint="eastAsia"/>
          <w:color w:val="333333"/>
          <w:sz w:val="24"/>
          <w:szCs w:val="24"/>
        </w:rPr>
        <w:t>发表B级论文4篇，C级论文1篇，省部级及以上课题4项（扬帆计划立项2项），详见表2-4和表2-5。</w:t>
      </w:r>
    </w:p>
    <w:p w:rsidR="00A910F8" w:rsidRDefault="00E07596" w:rsidP="00D02887">
      <w:pPr>
        <w:widowControl/>
        <w:spacing w:line="500" w:lineRule="exact"/>
        <w:ind w:firstLineChars="200" w:firstLine="474"/>
        <w:rPr>
          <w:rFonts w:ascii="楷体" w:eastAsia="楷体" w:hAnsi="楷体" w:cs="楷体"/>
          <w:color w:val="333333"/>
          <w:sz w:val="24"/>
          <w:szCs w:val="24"/>
        </w:rPr>
      </w:pPr>
      <w:r>
        <w:rPr>
          <w:rFonts w:ascii="楷体" w:eastAsia="楷体" w:hAnsi="楷体" w:cs="楷体" w:hint="eastAsia"/>
          <w:b/>
          <w:bCs/>
          <w:color w:val="333333"/>
          <w:sz w:val="24"/>
          <w:szCs w:val="24"/>
        </w:rPr>
        <w:t>教改成效：</w:t>
      </w:r>
      <w:r>
        <w:rPr>
          <w:rFonts w:ascii="楷体" w:eastAsia="楷体" w:hAnsi="楷体" w:cs="楷体" w:hint="eastAsia"/>
          <w:color w:val="333333"/>
          <w:sz w:val="24"/>
          <w:szCs w:val="24"/>
        </w:rPr>
        <w:t>《国际商务谈判》入选国家一流课程，“政产学研多维协同培养国际经贸人才创新与实践探索”获得2020年上海市教委重点教改项目立项，市级重点课程1项，发表教改论文4篇，2篇教改论文入选学校优秀论文集。</w:t>
      </w:r>
    </w:p>
    <w:p w:rsidR="00A910F8" w:rsidRDefault="00E07596" w:rsidP="00D02887">
      <w:pPr>
        <w:widowControl/>
        <w:spacing w:line="500" w:lineRule="exact"/>
        <w:ind w:firstLineChars="200" w:firstLine="474"/>
        <w:rPr>
          <w:rFonts w:ascii="楷体" w:eastAsia="楷体" w:hAnsi="楷体" w:cs="楷体"/>
          <w:color w:val="333333"/>
          <w:sz w:val="24"/>
          <w:szCs w:val="24"/>
        </w:rPr>
      </w:pPr>
      <w:r>
        <w:rPr>
          <w:rFonts w:ascii="楷体" w:eastAsia="楷体" w:hAnsi="楷体" w:cs="楷体" w:hint="eastAsia"/>
          <w:b/>
          <w:bCs/>
          <w:color w:val="333333"/>
          <w:sz w:val="24"/>
          <w:szCs w:val="24"/>
        </w:rPr>
        <w:t>教师获奖：</w:t>
      </w:r>
      <w:r>
        <w:rPr>
          <w:rFonts w:ascii="楷体" w:eastAsia="楷体" w:hAnsi="楷体" w:cs="楷体" w:hint="eastAsia"/>
          <w:color w:val="333333"/>
          <w:sz w:val="24"/>
          <w:szCs w:val="24"/>
        </w:rPr>
        <w:t>获得校级及以上奖项10项，详见表2-6。</w:t>
      </w:r>
    </w:p>
    <w:p w:rsidR="00A910F8" w:rsidRDefault="00E07596" w:rsidP="00D02887">
      <w:pPr>
        <w:widowControl/>
        <w:spacing w:line="500" w:lineRule="exact"/>
        <w:ind w:firstLineChars="200" w:firstLine="474"/>
        <w:jc w:val="center"/>
        <w:rPr>
          <w:rFonts w:ascii="楷体" w:eastAsia="楷体" w:hAnsi="楷体" w:cs="楷体"/>
          <w:b/>
          <w:bCs/>
          <w:color w:val="333333"/>
          <w:sz w:val="24"/>
          <w:szCs w:val="24"/>
        </w:rPr>
      </w:pPr>
      <w:r>
        <w:rPr>
          <w:rFonts w:ascii="楷体" w:eastAsia="楷体" w:hAnsi="楷体" w:cs="楷体" w:hint="eastAsia"/>
          <w:b/>
          <w:bCs/>
          <w:color w:val="333333"/>
          <w:sz w:val="24"/>
          <w:szCs w:val="24"/>
        </w:rPr>
        <w:t>表2-4 国际经济与贸易专业发表高水平论文一览表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345"/>
        <w:gridCol w:w="1600"/>
        <w:gridCol w:w="2474"/>
        <w:gridCol w:w="922"/>
      </w:tblGrid>
      <w:tr w:rsidR="00A910F8">
        <w:trPr>
          <w:trHeight w:val="558"/>
          <w:tblHeader/>
        </w:trPr>
        <w:tc>
          <w:tcPr>
            <w:tcW w:w="397" w:type="pct"/>
            <w:tcBorders>
              <w:right w:val="single" w:sz="4" w:space="0" w:color="auto"/>
            </w:tcBorders>
            <w:shd w:val="clear" w:color="auto" w:fill="E7E6E6" w:themeFill="background2"/>
            <w:vAlign w:val="center"/>
          </w:tcPr>
          <w:p w:rsidR="00A910F8" w:rsidRDefault="00E07596">
            <w:pPr>
              <w:jc w:val="center"/>
              <w:rPr>
                <w:rFonts w:ascii="楷体" w:eastAsia="楷体" w:hAnsi="楷体" w:cs="楷体"/>
                <w:b/>
                <w:bCs/>
                <w:color w:val="000000"/>
                <w:sz w:val="24"/>
                <w:szCs w:val="24"/>
              </w:rPr>
            </w:pPr>
            <w:r>
              <w:rPr>
                <w:rFonts w:ascii="楷体" w:eastAsia="楷体" w:hAnsi="楷体" w:cs="楷体" w:hint="eastAsia"/>
                <w:b/>
                <w:bCs/>
                <w:color w:val="000000"/>
                <w:sz w:val="24"/>
                <w:szCs w:val="24"/>
              </w:rPr>
              <w:t>序号</w:t>
            </w:r>
          </w:p>
        </w:tc>
        <w:tc>
          <w:tcPr>
            <w:tcW w:w="1846" w:type="pct"/>
            <w:tcBorders>
              <w:left w:val="single" w:sz="4" w:space="0" w:color="auto"/>
            </w:tcBorders>
            <w:shd w:val="clear" w:color="auto" w:fill="E7E6E6" w:themeFill="background2"/>
            <w:vAlign w:val="center"/>
          </w:tcPr>
          <w:p w:rsidR="00A910F8" w:rsidRDefault="00E07596">
            <w:pPr>
              <w:jc w:val="center"/>
              <w:rPr>
                <w:rFonts w:ascii="楷体" w:eastAsia="楷体" w:hAnsi="楷体" w:cs="楷体"/>
                <w:b/>
                <w:bCs/>
                <w:color w:val="000000"/>
                <w:sz w:val="24"/>
                <w:szCs w:val="24"/>
              </w:rPr>
            </w:pPr>
            <w:r>
              <w:rPr>
                <w:rFonts w:ascii="楷体" w:eastAsia="楷体" w:hAnsi="楷体" w:cs="楷体" w:hint="eastAsia"/>
                <w:b/>
                <w:bCs/>
                <w:color w:val="000000"/>
                <w:sz w:val="24"/>
                <w:szCs w:val="24"/>
              </w:rPr>
              <w:t>论文名称</w:t>
            </w:r>
          </w:p>
        </w:tc>
        <w:tc>
          <w:tcPr>
            <w:tcW w:w="883" w:type="pct"/>
            <w:shd w:val="clear" w:color="auto" w:fill="E7E6E6" w:themeFill="background2"/>
            <w:vAlign w:val="center"/>
          </w:tcPr>
          <w:p w:rsidR="00A910F8" w:rsidRDefault="00E07596">
            <w:pPr>
              <w:jc w:val="center"/>
              <w:rPr>
                <w:rFonts w:ascii="楷体" w:eastAsia="楷体" w:hAnsi="楷体" w:cs="楷体"/>
                <w:b/>
                <w:bCs/>
                <w:color w:val="000000"/>
                <w:sz w:val="24"/>
                <w:szCs w:val="24"/>
              </w:rPr>
            </w:pPr>
            <w:r>
              <w:rPr>
                <w:rFonts w:ascii="楷体" w:eastAsia="楷体" w:hAnsi="楷体" w:cs="楷体" w:hint="eastAsia"/>
                <w:b/>
                <w:bCs/>
                <w:sz w:val="24"/>
                <w:szCs w:val="24"/>
              </w:rPr>
              <w:t>作者</w:t>
            </w:r>
          </w:p>
        </w:tc>
        <w:tc>
          <w:tcPr>
            <w:tcW w:w="1365" w:type="pct"/>
            <w:shd w:val="clear" w:color="auto" w:fill="E7E6E6" w:themeFill="background2"/>
            <w:vAlign w:val="center"/>
          </w:tcPr>
          <w:p w:rsidR="00A910F8" w:rsidRDefault="00E07596">
            <w:pPr>
              <w:jc w:val="center"/>
              <w:rPr>
                <w:rFonts w:ascii="楷体" w:eastAsia="楷体" w:hAnsi="楷体" w:cs="楷体"/>
                <w:b/>
                <w:bCs/>
                <w:color w:val="000000"/>
                <w:sz w:val="24"/>
                <w:szCs w:val="24"/>
              </w:rPr>
            </w:pPr>
            <w:r>
              <w:rPr>
                <w:rFonts w:ascii="楷体" w:eastAsia="楷体" w:hAnsi="楷体" w:cs="楷体" w:hint="eastAsia"/>
                <w:b/>
                <w:bCs/>
                <w:sz w:val="24"/>
                <w:szCs w:val="24"/>
              </w:rPr>
              <w:t>发表期刊及刊期</w:t>
            </w:r>
          </w:p>
        </w:tc>
        <w:tc>
          <w:tcPr>
            <w:tcW w:w="509" w:type="pct"/>
            <w:shd w:val="clear" w:color="auto" w:fill="E7E6E6" w:themeFill="background2"/>
            <w:vAlign w:val="center"/>
          </w:tcPr>
          <w:p w:rsidR="00A910F8" w:rsidRDefault="00E07596">
            <w:pPr>
              <w:jc w:val="center"/>
              <w:rPr>
                <w:rFonts w:ascii="楷体" w:eastAsia="楷体" w:hAnsi="楷体" w:cs="楷体"/>
                <w:b/>
                <w:bCs/>
                <w:color w:val="000000"/>
                <w:sz w:val="24"/>
                <w:szCs w:val="24"/>
              </w:rPr>
            </w:pPr>
            <w:r>
              <w:rPr>
                <w:rFonts w:ascii="楷体" w:eastAsia="楷体" w:hAnsi="楷体" w:cs="楷体" w:hint="eastAsia"/>
                <w:b/>
                <w:bCs/>
                <w:sz w:val="24"/>
                <w:szCs w:val="24"/>
              </w:rPr>
              <w:t>级别</w:t>
            </w:r>
          </w:p>
        </w:tc>
      </w:tr>
      <w:tr w:rsidR="00A910F8">
        <w:tc>
          <w:tcPr>
            <w:tcW w:w="397" w:type="pct"/>
            <w:tcBorders>
              <w:right w:val="single" w:sz="4" w:space="0" w:color="auto"/>
            </w:tcBorders>
            <w:vAlign w:val="center"/>
          </w:tcPr>
          <w:p w:rsidR="00A910F8" w:rsidRDefault="00E07596">
            <w:pPr>
              <w:jc w:val="center"/>
              <w:rPr>
                <w:rFonts w:ascii="楷体" w:eastAsia="楷体" w:hAnsi="楷体" w:cs="楷体"/>
                <w:b/>
                <w:bCs/>
                <w:color w:val="000000"/>
                <w:sz w:val="24"/>
                <w:szCs w:val="24"/>
              </w:rPr>
            </w:pPr>
            <w:r>
              <w:rPr>
                <w:rFonts w:ascii="楷体" w:eastAsia="楷体" w:hAnsi="楷体" w:cs="楷体" w:hint="eastAsia"/>
                <w:b/>
                <w:bCs/>
                <w:color w:val="000000"/>
                <w:sz w:val="24"/>
                <w:szCs w:val="24"/>
              </w:rPr>
              <w:t>1</w:t>
            </w:r>
          </w:p>
        </w:tc>
        <w:tc>
          <w:tcPr>
            <w:tcW w:w="1846" w:type="pct"/>
            <w:tcBorders>
              <w:left w:val="single" w:sz="4" w:space="0" w:color="auto"/>
            </w:tcBorders>
            <w:vAlign w:val="center"/>
          </w:tcPr>
          <w:p w:rsidR="00A910F8" w:rsidRDefault="00E07596">
            <w:pPr>
              <w:jc w:val="center"/>
              <w:rPr>
                <w:rFonts w:ascii="楷体" w:eastAsia="楷体" w:hAnsi="楷体" w:cs="楷体"/>
                <w:color w:val="000000"/>
                <w:sz w:val="24"/>
                <w:szCs w:val="24"/>
              </w:rPr>
            </w:pPr>
            <w:r>
              <w:rPr>
                <w:rFonts w:ascii="楷体" w:eastAsia="楷体" w:hAnsi="楷体" w:cs="楷体" w:hint="eastAsia"/>
                <w:color w:val="000000"/>
                <w:sz w:val="24"/>
                <w:szCs w:val="24"/>
              </w:rPr>
              <w:t>从新型农村合作医疗到城乡居民基本医疗保险：城乡医保统筹的政策效应分析</w:t>
            </w:r>
          </w:p>
        </w:tc>
        <w:tc>
          <w:tcPr>
            <w:tcW w:w="883" w:type="pct"/>
            <w:vAlign w:val="center"/>
          </w:tcPr>
          <w:p w:rsidR="00A910F8" w:rsidRDefault="00E07596">
            <w:pPr>
              <w:spacing w:line="360" w:lineRule="auto"/>
              <w:jc w:val="center"/>
              <w:rPr>
                <w:rFonts w:ascii="楷体" w:eastAsia="楷体" w:hAnsi="楷体" w:cs="楷体"/>
                <w:color w:val="000000"/>
                <w:sz w:val="24"/>
                <w:szCs w:val="24"/>
              </w:rPr>
            </w:pPr>
            <w:r>
              <w:rPr>
                <w:rFonts w:ascii="楷体" w:eastAsia="楷体" w:hAnsi="楷体" w:cs="楷体" w:hint="eastAsia"/>
                <w:bCs/>
                <w:sz w:val="24"/>
                <w:szCs w:val="24"/>
              </w:rPr>
              <w:t>马万超</w:t>
            </w:r>
          </w:p>
        </w:tc>
        <w:tc>
          <w:tcPr>
            <w:tcW w:w="1365" w:type="pct"/>
            <w:vAlign w:val="center"/>
          </w:tcPr>
          <w:p w:rsidR="00A910F8" w:rsidRDefault="00E07596">
            <w:pPr>
              <w:jc w:val="center"/>
              <w:rPr>
                <w:rFonts w:ascii="楷体" w:eastAsia="楷体" w:hAnsi="楷体" w:cs="楷体"/>
                <w:color w:val="000000"/>
                <w:sz w:val="24"/>
                <w:szCs w:val="24"/>
              </w:rPr>
            </w:pPr>
            <w:r>
              <w:rPr>
                <w:rFonts w:ascii="楷体" w:eastAsia="楷体" w:hAnsi="楷体" w:cs="楷体" w:hint="eastAsia"/>
                <w:bCs/>
                <w:sz w:val="24"/>
                <w:szCs w:val="24"/>
              </w:rPr>
              <w:t>《中国经济问题》2021.7.20</w:t>
            </w:r>
          </w:p>
        </w:tc>
        <w:tc>
          <w:tcPr>
            <w:tcW w:w="509" w:type="pct"/>
            <w:vAlign w:val="center"/>
          </w:tcPr>
          <w:p w:rsidR="00A910F8" w:rsidRDefault="00E07596">
            <w:pPr>
              <w:spacing w:line="360" w:lineRule="auto"/>
              <w:jc w:val="center"/>
              <w:rPr>
                <w:rFonts w:ascii="楷体" w:eastAsia="楷体" w:hAnsi="楷体" w:cs="楷体"/>
                <w:color w:val="000000"/>
                <w:sz w:val="24"/>
                <w:szCs w:val="24"/>
              </w:rPr>
            </w:pPr>
            <w:r>
              <w:rPr>
                <w:rFonts w:ascii="楷体" w:eastAsia="楷体" w:hAnsi="楷体" w:cs="楷体" w:hint="eastAsia"/>
                <w:bCs/>
                <w:sz w:val="24"/>
                <w:szCs w:val="24"/>
              </w:rPr>
              <w:t>B2</w:t>
            </w:r>
          </w:p>
        </w:tc>
      </w:tr>
      <w:tr w:rsidR="00A910F8">
        <w:tc>
          <w:tcPr>
            <w:tcW w:w="397" w:type="pct"/>
            <w:tcBorders>
              <w:right w:val="single" w:sz="4" w:space="0" w:color="auto"/>
            </w:tcBorders>
            <w:vAlign w:val="center"/>
          </w:tcPr>
          <w:p w:rsidR="00A910F8" w:rsidRDefault="00E07596">
            <w:pPr>
              <w:jc w:val="center"/>
              <w:rPr>
                <w:rFonts w:ascii="楷体" w:eastAsia="楷体" w:hAnsi="楷体" w:cs="楷体"/>
                <w:b/>
                <w:bCs/>
                <w:color w:val="000000"/>
                <w:sz w:val="24"/>
                <w:szCs w:val="24"/>
              </w:rPr>
            </w:pPr>
            <w:r>
              <w:rPr>
                <w:rFonts w:ascii="楷体" w:eastAsia="楷体" w:hAnsi="楷体" w:cs="楷体" w:hint="eastAsia"/>
                <w:b/>
                <w:bCs/>
                <w:color w:val="000000"/>
                <w:sz w:val="24"/>
                <w:szCs w:val="24"/>
              </w:rPr>
              <w:t>2</w:t>
            </w:r>
          </w:p>
        </w:tc>
        <w:tc>
          <w:tcPr>
            <w:tcW w:w="1846" w:type="pct"/>
            <w:tcBorders>
              <w:left w:val="single" w:sz="4" w:space="0" w:color="auto"/>
            </w:tcBorders>
            <w:vAlign w:val="center"/>
          </w:tcPr>
          <w:p w:rsidR="00A910F8" w:rsidRDefault="00E07596">
            <w:pPr>
              <w:jc w:val="center"/>
              <w:rPr>
                <w:rFonts w:ascii="楷体" w:eastAsia="楷体" w:hAnsi="楷体" w:cs="楷体"/>
                <w:color w:val="000000"/>
                <w:sz w:val="24"/>
                <w:szCs w:val="24"/>
              </w:rPr>
            </w:pPr>
            <w:r>
              <w:rPr>
                <w:rFonts w:ascii="楷体" w:eastAsia="楷体" w:hAnsi="楷体" w:cs="楷体" w:hint="eastAsia"/>
                <w:bCs/>
                <w:sz w:val="24"/>
                <w:szCs w:val="24"/>
              </w:rPr>
              <w:t>生产分割、知识产权保护与出口技术复杂度———基于生产阶段分割的研究视角</w:t>
            </w:r>
          </w:p>
        </w:tc>
        <w:tc>
          <w:tcPr>
            <w:tcW w:w="883" w:type="pct"/>
            <w:vAlign w:val="center"/>
          </w:tcPr>
          <w:p w:rsidR="00A910F8" w:rsidRDefault="00E07596">
            <w:pPr>
              <w:spacing w:line="360" w:lineRule="auto"/>
              <w:jc w:val="center"/>
              <w:rPr>
                <w:rFonts w:ascii="楷体" w:eastAsia="楷体" w:hAnsi="楷体" w:cs="楷体"/>
                <w:color w:val="000000"/>
                <w:sz w:val="24"/>
                <w:szCs w:val="24"/>
              </w:rPr>
            </w:pPr>
            <w:r>
              <w:rPr>
                <w:rFonts w:ascii="楷体" w:eastAsia="楷体" w:hAnsi="楷体" w:cs="楷体" w:hint="eastAsia"/>
                <w:bCs/>
                <w:sz w:val="24"/>
                <w:szCs w:val="24"/>
              </w:rPr>
              <w:t>魏如青</w:t>
            </w:r>
          </w:p>
        </w:tc>
        <w:tc>
          <w:tcPr>
            <w:tcW w:w="1365" w:type="pct"/>
            <w:vAlign w:val="center"/>
          </w:tcPr>
          <w:p w:rsidR="00A910F8" w:rsidRDefault="00E07596">
            <w:pPr>
              <w:jc w:val="center"/>
              <w:rPr>
                <w:rFonts w:ascii="楷体" w:eastAsia="楷体" w:hAnsi="楷体" w:cs="楷体"/>
                <w:color w:val="000000"/>
                <w:sz w:val="24"/>
                <w:szCs w:val="24"/>
              </w:rPr>
            </w:pPr>
            <w:r>
              <w:rPr>
                <w:rFonts w:ascii="楷体" w:eastAsia="楷体" w:hAnsi="楷体" w:cs="楷体" w:hint="eastAsia"/>
                <w:bCs/>
                <w:sz w:val="24"/>
                <w:szCs w:val="24"/>
              </w:rPr>
              <w:t>待刊出2021年4月《统计研究》</w:t>
            </w:r>
          </w:p>
        </w:tc>
        <w:tc>
          <w:tcPr>
            <w:tcW w:w="509" w:type="pct"/>
            <w:vAlign w:val="center"/>
          </w:tcPr>
          <w:p w:rsidR="00A910F8" w:rsidRDefault="00E07596">
            <w:pPr>
              <w:spacing w:line="360" w:lineRule="auto"/>
              <w:jc w:val="center"/>
              <w:rPr>
                <w:rFonts w:ascii="楷体" w:eastAsia="楷体" w:hAnsi="楷体" w:cs="楷体"/>
                <w:color w:val="000000"/>
                <w:sz w:val="24"/>
                <w:szCs w:val="24"/>
              </w:rPr>
            </w:pPr>
            <w:r>
              <w:rPr>
                <w:rFonts w:ascii="楷体" w:eastAsia="楷体" w:hAnsi="楷体" w:cs="楷体" w:hint="eastAsia"/>
                <w:bCs/>
                <w:sz w:val="24"/>
                <w:szCs w:val="24"/>
              </w:rPr>
              <w:t>B1</w:t>
            </w:r>
          </w:p>
        </w:tc>
      </w:tr>
      <w:tr w:rsidR="00A910F8">
        <w:tc>
          <w:tcPr>
            <w:tcW w:w="397" w:type="pct"/>
            <w:tcBorders>
              <w:right w:val="single" w:sz="4" w:space="0" w:color="auto"/>
            </w:tcBorders>
            <w:vAlign w:val="center"/>
          </w:tcPr>
          <w:p w:rsidR="00A910F8" w:rsidRDefault="00E07596">
            <w:pPr>
              <w:jc w:val="center"/>
              <w:rPr>
                <w:rFonts w:ascii="楷体" w:eastAsia="楷体" w:hAnsi="楷体" w:cs="楷体"/>
                <w:b/>
                <w:bCs/>
                <w:color w:val="000000"/>
                <w:sz w:val="24"/>
                <w:szCs w:val="24"/>
              </w:rPr>
            </w:pPr>
            <w:r>
              <w:rPr>
                <w:rFonts w:ascii="楷体" w:eastAsia="楷体" w:hAnsi="楷体" w:cs="楷体" w:hint="eastAsia"/>
                <w:b/>
                <w:bCs/>
                <w:color w:val="000000"/>
                <w:sz w:val="24"/>
                <w:szCs w:val="24"/>
              </w:rPr>
              <w:lastRenderedPageBreak/>
              <w:t>3</w:t>
            </w:r>
          </w:p>
        </w:tc>
        <w:tc>
          <w:tcPr>
            <w:tcW w:w="1846" w:type="pct"/>
            <w:tcBorders>
              <w:left w:val="single" w:sz="4" w:space="0" w:color="auto"/>
            </w:tcBorders>
            <w:vAlign w:val="center"/>
          </w:tcPr>
          <w:p w:rsidR="00A910F8" w:rsidRDefault="00E07596">
            <w:pPr>
              <w:jc w:val="center"/>
              <w:rPr>
                <w:rFonts w:ascii="楷体" w:eastAsia="楷体" w:hAnsi="楷体" w:cs="楷体"/>
                <w:sz w:val="24"/>
                <w:szCs w:val="24"/>
              </w:rPr>
            </w:pPr>
            <w:r>
              <w:rPr>
                <w:rFonts w:ascii="楷体" w:eastAsia="楷体" w:hAnsi="楷体" w:cs="楷体" w:hint="eastAsia"/>
                <w:bCs/>
                <w:sz w:val="24"/>
                <w:szCs w:val="24"/>
              </w:rPr>
              <w:t>地区服务业发展是否促进了中国企业对外直接投资</w:t>
            </w:r>
          </w:p>
        </w:tc>
        <w:tc>
          <w:tcPr>
            <w:tcW w:w="883" w:type="pct"/>
            <w:vAlign w:val="center"/>
          </w:tcPr>
          <w:p w:rsidR="00A910F8" w:rsidRDefault="00E07596">
            <w:pPr>
              <w:jc w:val="center"/>
              <w:rPr>
                <w:rFonts w:ascii="楷体" w:eastAsia="楷体" w:hAnsi="楷体" w:cs="楷体"/>
                <w:color w:val="000000"/>
                <w:sz w:val="24"/>
                <w:szCs w:val="24"/>
              </w:rPr>
            </w:pPr>
            <w:r>
              <w:rPr>
                <w:rFonts w:ascii="楷体" w:eastAsia="楷体" w:hAnsi="楷体" w:cs="楷体" w:hint="eastAsia"/>
                <w:bCs/>
                <w:sz w:val="24"/>
                <w:szCs w:val="24"/>
              </w:rPr>
              <w:t>孙好雨</w:t>
            </w:r>
          </w:p>
        </w:tc>
        <w:tc>
          <w:tcPr>
            <w:tcW w:w="1365" w:type="pct"/>
            <w:vAlign w:val="center"/>
          </w:tcPr>
          <w:p w:rsidR="00A910F8" w:rsidRDefault="00E07596">
            <w:pPr>
              <w:jc w:val="center"/>
              <w:rPr>
                <w:rFonts w:ascii="楷体" w:eastAsia="楷体" w:hAnsi="楷体" w:cs="楷体"/>
                <w:color w:val="000000"/>
                <w:sz w:val="24"/>
                <w:szCs w:val="24"/>
              </w:rPr>
            </w:pPr>
            <w:r>
              <w:rPr>
                <w:rFonts w:ascii="楷体" w:eastAsia="楷体" w:hAnsi="楷体" w:cs="楷体" w:hint="eastAsia"/>
                <w:bCs/>
                <w:sz w:val="24"/>
                <w:szCs w:val="24"/>
              </w:rPr>
              <w:t>2021年3月刊《国际贸易问题》</w:t>
            </w:r>
          </w:p>
        </w:tc>
        <w:tc>
          <w:tcPr>
            <w:tcW w:w="509" w:type="pct"/>
            <w:vAlign w:val="center"/>
          </w:tcPr>
          <w:p w:rsidR="00A910F8" w:rsidRDefault="00E07596">
            <w:pPr>
              <w:spacing w:line="360" w:lineRule="auto"/>
              <w:jc w:val="center"/>
              <w:rPr>
                <w:rFonts w:ascii="楷体" w:eastAsia="楷体" w:hAnsi="楷体" w:cs="楷体"/>
                <w:color w:val="000000"/>
                <w:sz w:val="24"/>
                <w:szCs w:val="24"/>
              </w:rPr>
            </w:pPr>
            <w:r>
              <w:rPr>
                <w:rFonts w:ascii="楷体" w:eastAsia="楷体" w:hAnsi="楷体" w:cs="楷体" w:hint="eastAsia"/>
                <w:bCs/>
                <w:sz w:val="24"/>
                <w:szCs w:val="24"/>
              </w:rPr>
              <w:t>B2</w:t>
            </w:r>
          </w:p>
        </w:tc>
      </w:tr>
      <w:tr w:rsidR="00A910F8">
        <w:tc>
          <w:tcPr>
            <w:tcW w:w="397" w:type="pct"/>
            <w:tcBorders>
              <w:right w:val="single" w:sz="4" w:space="0" w:color="auto"/>
            </w:tcBorders>
            <w:vAlign w:val="center"/>
          </w:tcPr>
          <w:p w:rsidR="00A910F8" w:rsidRDefault="00E07596">
            <w:pPr>
              <w:jc w:val="center"/>
              <w:rPr>
                <w:rFonts w:ascii="楷体" w:eastAsia="楷体" w:hAnsi="楷体" w:cs="楷体"/>
                <w:b/>
                <w:bCs/>
                <w:color w:val="000000"/>
                <w:sz w:val="24"/>
                <w:szCs w:val="24"/>
              </w:rPr>
            </w:pPr>
            <w:r>
              <w:rPr>
                <w:rFonts w:ascii="楷体" w:eastAsia="楷体" w:hAnsi="楷体" w:cs="楷体" w:hint="eastAsia"/>
                <w:sz w:val="24"/>
                <w:szCs w:val="24"/>
              </w:rPr>
              <w:t>4</w:t>
            </w:r>
          </w:p>
        </w:tc>
        <w:tc>
          <w:tcPr>
            <w:tcW w:w="1846" w:type="pct"/>
            <w:tcBorders>
              <w:left w:val="single" w:sz="4" w:space="0" w:color="auto"/>
            </w:tcBorders>
            <w:vAlign w:val="bottom"/>
          </w:tcPr>
          <w:p w:rsidR="00A910F8" w:rsidRDefault="00014399">
            <w:pPr>
              <w:jc w:val="center"/>
              <w:rPr>
                <w:rFonts w:ascii="楷体" w:eastAsia="楷体" w:hAnsi="楷体" w:cs="楷体"/>
                <w:sz w:val="24"/>
                <w:szCs w:val="24"/>
              </w:rPr>
            </w:pPr>
            <w:hyperlink r:id="rId12" w:history="1">
              <w:r w:rsidR="00E07596">
                <w:rPr>
                  <w:rFonts w:ascii="楷体" w:eastAsia="楷体" w:hAnsi="楷体" w:cs="楷体" w:hint="eastAsia"/>
                  <w:sz w:val="24"/>
                  <w:szCs w:val="24"/>
                </w:rPr>
                <w:t>A Comparison between Mixed Logit Model and Latent Class Logit Model for Multi-profile Best-worst Scaling: Evidence from Mobile Payment Choice Dataset</w:t>
              </w:r>
            </w:hyperlink>
          </w:p>
        </w:tc>
        <w:tc>
          <w:tcPr>
            <w:tcW w:w="883" w:type="pct"/>
            <w:vAlign w:val="center"/>
          </w:tcPr>
          <w:p w:rsidR="00A910F8" w:rsidRDefault="00E07596">
            <w:pPr>
              <w:jc w:val="center"/>
              <w:rPr>
                <w:rFonts w:ascii="楷体" w:eastAsia="楷体" w:hAnsi="楷体" w:cs="楷体"/>
                <w:sz w:val="24"/>
                <w:szCs w:val="24"/>
              </w:rPr>
            </w:pPr>
            <w:r>
              <w:rPr>
                <w:rFonts w:ascii="楷体" w:eastAsia="楷体" w:hAnsi="楷体" w:cs="楷体" w:hint="eastAsia"/>
                <w:sz w:val="24"/>
                <w:szCs w:val="24"/>
              </w:rPr>
              <w:t>郭钦鑫</w:t>
            </w:r>
          </w:p>
        </w:tc>
        <w:tc>
          <w:tcPr>
            <w:tcW w:w="1365" w:type="pct"/>
            <w:vAlign w:val="center"/>
          </w:tcPr>
          <w:p w:rsidR="00A910F8" w:rsidRDefault="00E07596">
            <w:pPr>
              <w:jc w:val="center"/>
              <w:rPr>
                <w:rFonts w:ascii="楷体" w:eastAsia="楷体" w:hAnsi="楷体" w:cs="楷体"/>
                <w:sz w:val="24"/>
                <w:szCs w:val="24"/>
              </w:rPr>
            </w:pPr>
            <w:r>
              <w:rPr>
                <w:rFonts w:ascii="楷体" w:eastAsia="楷体" w:hAnsi="楷体" w:cs="楷体" w:hint="eastAsia"/>
                <w:sz w:val="24"/>
                <w:szCs w:val="24"/>
              </w:rPr>
              <w:t>Applied Economics Letters,2021.05</w:t>
            </w:r>
          </w:p>
        </w:tc>
        <w:tc>
          <w:tcPr>
            <w:tcW w:w="509" w:type="pct"/>
            <w:vAlign w:val="center"/>
          </w:tcPr>
          <w:p w:rsidR="00A910F8" w:rsidRDefault="00E07596">
            <w:pPr>
              <w:jc w:val="center"/>
              <w:rPr>
                <w:rFonts w:ascii="楷体" w:eastAsia="楷体" w:hAnsi="楷体" w:cs="楷体"/>
                <w:color w:val="000000"/>
                <w:sz w:val="24"/>
                <w:szCs w:val="24"/>
              </w:rPr>
            </w:pPr>
            <w:r>
              <w:rPr>
                <w:rFonts w:ascii="楷体" w:eastAsia="楷体" w:hAnsi="楷体" w:cs="楷体" w:hint="eastAsia"/>
                <w:sz w:val="24"/>
                <w:szCs w:val="24"/>
              </w:rPr>
              <w:t>C级</w:t>
            </w:r>
          </w:p>
        </w:tc>
      </w:tr>
    </w:tbl>
    <w:p w:rsidR="00A910F8" w:rsidRDefault="00A910F8">
      <w:pPr>
        <w:jc w:val="center"/>
        <w:rPr>
          <w:rFonts w:ascii="楷体" w:eastAsia="楷体" w:hAnsi="楷体" w:cs="楷体"/>
          <w:color w:val="000000"/>
          <w:sz w:val="24"/>
          <w:szCs w:val="24"/>
        </w:rPr>
      </w:pPr>
    </w:p>
    <w:p w:rsidR="00A910F8" w:rsidRDefault="00E07596">
      <w:pPr>
        <w:jc w:val="center"/>
        <w:rPr>
          <w:rFonts w:ascii="楷体" w:eastAsia="楷体" w:hAnsi="楷体" w:cs="楷体"/>
          <w:b/>
          <w:bCs/>
          <w:color w:val="000000"/>
          <w:sz w:val="24"/>
          <w:szCs w:val="24"/>
        </w:rPr>
      </w:pPr>
      <w:r>
        <w:rPr>
          <w:rFonts w:ascii="楷体" w:eastAsia="楷体" w:hAnsi="楷体" w:cs="楷体" w:hint="eastAsia"/>
          <w:b/>
          <w:bCs/>
          <w:color w:val="000000"/>
          <w:sz w:val="24"/>
          <w:szCs w:val="24"/>
        </w:rPr>
        <w:t>表2-5  2020-2021学年获省部级及以上科研课题情况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2771"/>
        <w:gridCol w:w="1234"/>
        <w:gridCol w:w="2653"/>
        <w:gridCol w:w="1750"/>
      </w:tblGrid>
      <w:tr w:rsidR="00A910F8">
        <w:tc>
          <w:tcPr>
            <w:tcW w:w="384" w:type="pct"/>
            <w:tcBorders>
              <w:right w:val="single" w:sz="4" w:space="0" w:color="auto"/>
            </w:tcBorders>
            <w:vAlign w:val="center"/>
          </w:tcPr>
          <w:p w:rsidR="00A910F8" w:rsidRDefault="00E07596">
            <w:pPr>
              <w:spacing w:line="360" w:lineRule="auto"/>
              <w:jc w:val="center"/>
              <w:rPr>
                <w:rFonts w:ascii="楷体" w:eastAsia="楷体" w:hAnsi="楷体" w:cs="楷体"/>
                <w:bCs/>
                <w:sz w:val="24"/>
                <w:szCs w:val="24"/>
              </w:rPr>
            </w:pPr>
            <w:r>
              <w:rPr>
                <w:rFonts w:ascii="楷体" w:eastAsia="楷体" w:hAnsi="楷体" w:cs="楷体" w:hint="eastAsia"/>
                <w:b/>
                <w:bCs/>
                <w:sz w:val="24"/>
                <w:szCs w:val="24"/>
              </w:rPr>
              <w:t>序号</w:t>
            </w:r>
          </w:p>
        </w:tc>
        <w:tc>
          <w:tcPr>
            <w:tcW w:w="1553" w:type="pct"/>
            <w:tcBorders>
              <w:left w:val="single" w:sz="4" w:space="0" w:color="auto"/>
            </w:tcBorders>
            <w:vAlign w:val="center"/>
          </w:tcPr>
          <w:p w:rsidR="00A910F8" w:rsidRDefault="00E07596">
            <w:pPr>
              <w:adjustRightInd w:val="0"/>
              <w:snapToGrid w:val="0"/>
              <w:jc w:val="center"/>
              <w:rPr>
                <w:rFonts w:ascii="楷体" w:eastAsia="楷体" w:hAnsi="楷体" w:cs="楷体"/>
                <w:sz w:val="24"/>
                <w:szCs w:val="24"/>
              </w:rPr>
            </w:pPr>
            <w:r>
              <w:rPr>
                <w:rFonts w:ascii="楷体" w:eastAsia="楷体" w:hAnsi="楷体" w:cs="楷体" w:hint="eastAsia"/>
                <w:b/>
                <w:bCs/>
                <w:sz w:val="24"/>
                <w:szCs w:val="24"/>
              </w:rPr>
              <w:t>课题名称</w:t>
            </w:r>
          </w:p>
        </w:tc>
        <w:tc>
          <w:tcPr>
            <w:tcW w:w="704" w:type="pct"/>
            <w:vAlign w:val="center"/>
          </w:tcPr>
          <w:p w:rsidR="00A910F8" w:rsidRDefault="00E07596">
            <w:pPr>
              <w:adjustRightInd w:val="0"/>
              <w:snapToGrid w:val="0"/>
              <w:jc w:val="center"/>
              <w:rPr>
                <w:rFonts w:ascii="楷体" w:eastAsia="楷体" w:hAnsi="楷体" w:cs="楷体"/>
                <w:sz w:val="24"/>
                <w:szCs w:val="24"/>
              </w:rPr>
            </w:pPr>
            <w:r>
              <w:rPr>
                <w:rFonts w:ascii="楷体" w:eastAsia="楷体" w:hAnsi="楷体" w:cs="楷体" w:hint="eastAsia"/>
                <w:b/>
                <w:bCs/>
                <w:sz w:val="24"/>
                <w:szCs w:val="24"/>
              </w:rPr>
              <w:t>课题负责人</w:t>
            </w:r>
          </w:p>
        </w:tc>
        <w:tc>
          <w:tcPr>
            <w:tcW w:w="1487" w:type="pct"/>
            <w:tcBorders>
              <w:right w:val="single" w:sz="4" w:space="0" w:color="auto"/>
            </w:tcBorders>
            <w:vAlign w:val="center"/>
          </w:tcPr>
          <w:p w:rsidR="00A910F8" w:rsidRDefault="00E07596">
            <w:pPr>
              <w:adjustRightInd w:val="0"/>
              <w:snapToGrid w:val="0"/>
              <w:jc w:val="center"/>
              <w:rPr>
                <w:rFonts w:ascii="楷体" w:eastAsia="楷体" w:hAnsi="楷体" w:cs="楷体"/>
                <w:sz w:val="24"/>
                <w:szCs w:val="24"/>
              </w:rPr>
            </w:pPr>
            <w:r>
              <w:rPr>
                <w:rFonts w:ascii="楷体" w:eastAsia="楷体" w:hAnsi="楷体" w:cs="楷体" w:hint="eastAsia"/>
                <w:b/>
                <w:bCs/>
                <w:sz w:val="24"/>
                <w:szCs w:val="24"/>
              </w:rPr>
              <w:t>课题类别</w:t>
            </w:r>
          </w:p>
        </w:tc>
        <w:tc>
          <w:tcPr>
            <w:tcW w:w="872" w:type="pct"/>
            <w:tcBorders>
              <w:left w:val="single" w:sz="4" w:space="0" w:color="auto"/>
              <w:right w:val="single" w:sz="4" w:space="0" w:color="auto"/>
            </w:tcBorders>
            <w:vAlign w:val="center"/>
          </w:tcPr>
          <w:p w:rsidR="00A910F8" w:rsidRDefault="00E07596">
            <w:pPr>
              <w:adjustRightInd w:val="0"/>
              <w:snapToGrid w:val="0"/>
              <w:jc w:val="center"/>
              <w:rPr>
                <w:rFonts w:ascii="楷体" w:eastAsia="楷体" w:hAnsi="楷体" w:cs="楷体"/>
                <w:b/>
                <w:bCs/>
                <w:sz w:val="24"/>
                <w:szCs w:val="24"/>
              </w:rPr>
            </w:pPr>
            <w:r>
              <w:rPr>
                <w:rFonts w:ascii="楷体" w:eastAsia="楷体" w:hAnsi="楷体" w:cs="楷体" w:hint="eastAsia"/>
                <w:b/>
                <w:bCs/>
                <w:sz w:val="24"/>
                <w:szCs w:val="24"/>
              </w:rPr>
              <w:t>立项结项</w:t>
            </w:r>
          </w:p>
          <w:p w:rsidR="00A910F8" w:rsidRDefault="00E07596">
            <w:pPr>
              <w:adjustRightInd w:val="0"/>
              <w:snapToGrid w:val="0"/>
              <w:jc w:val="center"/>
              <w:rPr>
                <w:rFonts w:ascii="楷体" w:eastAsia="楷体" w:hAnsi="楷体" w:cs="楷体"/>
                <w:sz w:val="24"/>
                <w:szCs w:val="24"/>
              </w:rPr>
            </w:pPr>
            <w:r>
              <w:rPr>
                <w:rFonts w:ascii="楷体" w:eastAsia="楷体" w:hAnsi="楷体" w:cs="楷体" w:hint="eastAsia"/>
                <w:b/>
                <w:bCs/>
                <w:sz w:val="24"/>
                <w:szCs w:val="24"/>
              </w:rPr>
              <w:t>时间</w:t>
            </w:r>
          </w:p>
        </w:tc>
      </w:tr>
      <w:tr w:rsidR="00A910F8">
        <w:trPr>
          <w:trHeight w:val="1671"/>
        </w:trPr>
        <w:tc>
          <w:tcPr>
            <w:tcW w:w="384" w:type="pct"/>
            <w:tcBorders>
              <w:right w:val="single" w:sz="4" w:space="0" w:color="auto"/>
            </w:tcBorders>
            <w:vAlign w:val="center"/>
          </w:tcPr>
          <w:p w:rsidR="00A910F8" w:rsidRDefault="00E07596">
            <w:pPr>
              <w:spacing w:line="360" w:lineRule="auto"/>
              <w:jc w:val="center"/>
              <w:rPr>
                <w:rFonts w:ascii="楷体" w:eastAsia="楷体" w:hAnsi="楷体" w:cs="楷体"/>
                <w:bCs/>
                <w:sz w:val="24"/>
                <w:szCs w:val="24"/>
              </w:rPr>
            </w:pPr>
            <w:r>
              <w:rPr>
                <w:rFonts w:ascii="楷体" w:eastAsia="楷体" w:hAnsi="楷体" w:cs="楷体" w:hint="eastAsia"/>
                <w:bCs/>
                <w:sz w:val="24"/>
                <w:szCs w:val="24"/>
              </w:rPr>
              <w:t>1</w:t>
            </w:r>
          </w:p>
        </w:tc>
        <w:tc>
          <w:tcPr>
            <w:tcW w:w="1553" w:type="pct"/>
            <w:tcBorders>
              <w:left w:val="single" w:sz="4" w:space="0" w:color="auto"/>
            </w:tcBorders>
          </w:tcPr>
          <w:p w:rsidR="00A910F8" w:rsidRDefault="00E07596">
            <w:pPr>
              <w:spacing w:line="500" w:lineRule="exact"/>
              <w:jc w:val="center"/>
              <w:rPr>
                <w:rFonts w:ascii="楷体" w:eastAsia="楷体" w:hAnsi="楷体" w:cs="楷体"/>
                <w:sz w:val="24"/>
                <w:szCs w:val="24"/>
              </w:rPr>
            </w:pPr>
            <w:r>
              <w:rPr>
                <w:rFonts w:ascii="楷体" w:eastAsia="楷体" w:hAnsi="楷体" w:cs="楷体" w:hint="eastAsia"/>
                <w:bCs/>
                <w:sz w:val="24"/>
                <w:szCs w:val="24"/>
              </w:rPr>
              <w:t>“后疫情时代”中国企业海外投资的路径选择与网络布局探究</w:t>
            </w:r>
          </w:p>
        </w:tc>
        <w:tc>
          <w:tcPr>
            <w:tcW w:w="704" w:type="pct"/>
          </w:tcPr>
          <w:p w:rsidR="00A910F8" w:rsidRDefault="00E07596">
            <w:pPr>
              <w:spacing w:line="360" w:lineRule="auto"/>
              <w:jc w:val="center"/>
              <w:rPr>
                <w:rFonts w:ascii="楷体" w:eastAsia="楷体" w:hAnsi="楷体" w:cs="楷体"/>
                <w:sz w:val="24"/>
                <w:szCs w:val="24"/>
              </w:rPr>
            </w:pPr>
            <w:r>
              <w:rPr>
                <w:rFonts w:ascii="楷体" w:eastAsia="楷体" w:hAnsi="楷体" w:cs="楷体" w:hint="eastAsia"/>
                <w:bCs/>
                <w:sz w:val="24"/>
                <w:szCs w:val="24"/>
              </w:rPr>
              <w:t>孙好雨</w:t>
            </w:r>
          </w:p>
        </w:tc>
        <w:tc>
          <w:tcPr>
            <w:tcW w:w="1487" w:type="pct"/>
            <w:tcBorders>
              <w:right w:val="single" w:sz="4" w:space="0" w:color="auto"/>
            </w:tcBorders>
          </w:tcPr>
          <w:p w:rsidR="00A910F8" w:rsidRDefault="00E07596">
            <w:pPr>
              <w:jc w:val="center"/>
              <w:rPr>
                <w:rFonts w:ascii="楷体" w:eastAsia="楷体" w:hAnsi="楷体" w:cs="楷体"/>
                <w:sz w:val="24"/>
                <w:szCs w:val="24"/>
              </w:rPr>
            </w:pPr>
            <w:r>
              <w:rPr>
                <w:rFonts w:ascii="楷体" w:eastAsia="楷体" w:hAnsi="楷体" w:cs="楷体" w:hint="eastAsia"/>
                <w:bCs/>
                <w:sz w:val="24"/>
                <w:szCs w:val="24"/>
              </w:rPr>
              <w:t xml:space="preserve">2021年度上海市“扬帆计划”项目 </w:t>
            </w:r>
          </w:p>
        </w:tc>
        <w:tc>
          <w:tcPr>
            <w:tcW w:w="872" w:type="pct"/>
            <w:tcBorders>
              <w:left w:val="single" w:sz="4" w:space="0" w:color="auto"/>
              <w:right w:val="single" w:sz="4" w:space="0" w:color="auto"/>
            </w:tcBorders>
          </w:tcPr>
          <w:p w:rsidR="00A910F8" w:rsidRDefault="00E07596">
            <w:pPr>
              <w:spacing w:line="360" w:lineRule="auto"/>
              <w:jc w:val="center"/>
              <w:rPr>
                <w:rFonts w:ascii="楷体" w:eastAsia="楷体" w:hAnsi="楷体" w:cs="楷体"/>
                <w:sz w:val="24"/>
                <w:szCs w:val="24"/>
              </w:rPr>
            </w:pPr>
            <w:r>
              <w:rPr>
                <w:rFonts w:ascii="楷体" w:eastAsia="楷体" w:hAnsi="楷体" w:cs="楷体" w:hint="eastAsia"/>
                <w:bCs/>
                <w:sz w:val="24"/>
                <w:szCs w:val="24"/>
              </w:rPr>
              <w:t>2021.4-2024.4</w:t>
            </w:r>
          </w:p>
        </w:tc>
      </w:tr>
      <w:tr w:rsidR="00A910F8">
        <w:trPr>
          <w:trHeight w:val="1720"/>
        </w:trPr>
        <w:tc>
          <w:tcPr>
            <w:tcW w:w="384" w:type="pct"/>
            <w:tcBorders>
              <w:right w:val="single" w:sz="4" w:space="0" w:color="auto"/>
            </w:tcBorders>
            <w:vAlign w:val="center"/>
          </w:tcPr>
          <w:p w:rsidR="00A910F8" w:rsidRDefault="00E07596">
            <w:pPr>
              <w:spacing w:line="360" w:lineRule="auto"/>
              <w:jc w:val="center"/>
              <w:rPr>
                <w:rFonts w:ascii="楷体" w:eastAsia="楷体" w:hAnsi="楷体" w:cs="楷体"/>
                <w:bCs/>
                <w:sz w:val="24"/>
                <w:szCs w:val="24"/>
              </w:rPr>
            </w:pPr>
            <w:r>
              <w:rPr>
                <w:rFonts w:ascii="楷体" w:eastAsia="楷体" w:hAnsi="楷体" w:cs="楷体" w:hint="eastAsia"/>
                <w:kern w:val="0"/>
                <w:sz w:val="24"/>
                <w:szCs w:val="24"/>
              </w:rPr>
              <w:t>2</w:t>
            </w:r>
          </w:p>
        </w:tc>
        <w:tc>
          <w:tcPr>
            <w:tcW w:w="1553" w:type="pct"/>
            <w:tcBorders>
              <w:left w:val="single" w:sz="4" w:space="0" w:color="auto"/>
            </w:tcBorders>
          </w:tcPr>
          <w:p w:rsidR="00A910F8" w:rsidRDefault="00E07596">
            <w:pPr>
              <w:spacing w:line="500" w:lineRule="exact"/>
              <w:jc w:val="center"/>
              <w:rPr>
                <w:rFonts w:ascii="楷体" w:eastAsia="楷体" w:hAnsi="楷体" w:cs="楷体"/>
                <w:sz w:val="24"/>
                <w:szCs w:val="24"/>
              </w:rPr>
            </w:pPr>
            <w:r>
              <w:rPr>
                <w:rFonts w:ascii="楷体" w:eastAsia="楷体" w:hAnsi="楷体" w:cs="楷体" w:hint="eastAsia"/>
                <w:bCs/>
                <w:sz w:val="24"/>
                <w:szCs w:val="24"/>
              </w:rPr>
              <w:t>金融性突发事件下金融风险的跨市场传染及作用机制研究：基于网络分析的视角</w:t>
            </w:r>
          </w:p>
        </w:tc>
        <w:tc>
          <w:tcPr>
            <w:tcW w:w="704" w:type="pct"/>
          </w:tcPr>
          <w:p w:rsidR="00A910F8" w:rsidRDefault="00E07596">
            <w:pPr>
              <w:spacing w:line="360" w:lineRule="auto"/>
              <w:jc w:val="center"/>
              <w:rPr>
                <w:rFonts w:ascii="楷体" w:eastAsia="楷体" w:hAnsi="楷体" w:cs="楷体"/>
                <w:sz w:val="24"/>
                <w:szCs w:val="24"/>
              </w:rPr>
            </w:pPr>
            <w:r>
              <w:rPr>
                <w:rFonts w:ascii="楷体" w:eastAsia="楷体" w:hAnsi="楷体" w:cs="楷体" w:hint="eastAsia"/>
                <w:bCs/>
                <w:sz w:val="24"/>
                <w:szCs w:val="24"/>
              </w:rPr>
              <w:t>罗子嫄</w:t>
            </w:r>
          </w:p>
        </w:tc>
        <w:tc>
          <w:tcPr>
            <w:tcW w:w="1487" w:type="pct"/>
            <w:tcBorders>
              <w:right w:val="single" w:sz="4" w:space="0" w:color="auto"/>
            </w:tcBorders>
          </w:tcPr>
          <w:p w:rsidR="00A910F8" w:rsidRDefault="00E07596">
            <w:pPr>
              <w:jc w:val="center"/>
              <w:rPr>
                <w:rFonts w:ascii="楷体" w:eastAsia="楷体" w:hAnsi="楷体" w:cs="楷体"/>
                <w:sz w:val="24"/>
                <w:szCs w:val="24"/>
              </w:rPr>
            </w:pPr>
            <w:r>
              <w:rPr>
                <w:rFonts w:ascii="楷体" w:eastAsia="楷体" w:hAnsi="楷体" w:cs="楷体" w:hint="eastAsia"/>
                <w:bCs/>
                <w:sz w:val="24"/>
                <w:szCs w:val="24"/>
              </w:rPr>
              <w:t>2021年度上海市“扬帆计划”项目</w:t>
            </w:r>
          </w:p>
        </w:tc>
        <w:tc>
          <w:tcPr>
            <w:tcW w:w="872" w:type="pct"/>
            <w:tcBorders>
              <w:left w:val="single" w:sz="4" w:space="0" w:color="auto"/>
              <w:right w:val="single" w:sz="4" w:space="0" w:color="auto"/>
            </w:tcBorders>
          </w:tcPr>
          <w:p w:rsidR="00A910F8" w:rsidRDefault="00E07596">
            <w:pPr>
              <w:spacing w:line="360" w:lineRule="auto"/>
              <w:jc w:val="center"/>
              <w:rPr>
                <w:rFonts w:ascii="楷体" w:eastAsia="楷体" w:hAnsi="楷体" w:cs="楷体"/>
                <w:sz w:val="24"/>
                <w:szCs w:val="24"/>
              </w:rPr>
            </w:pPr>
            <w:r>
              <w:rPr>
                <w:rFonts w:ascii="楷体" w:eastAsia="楷体" w:hAnsi="楷体" w:cs="楷体" w:hint="eastAsia"/>
                <w:bCs/>
                <w:sz w:val="24"/>
                <w:szCs w:val="24"/>
              </w:rPr>
              <w:t>2021.4-2024.4</w:t>
            </w:r>
          </w:p>
        </w:tc>
      </w:tr>
      <w:tr w:rsidR="00A910F8">
        <w:trPr>
          <w:trHeight w:val="1082"/>
        </w:trPr>
        <w:tc>
          <w:tcPr>
            <w:tcW w:w="384" w:type="pct"/>
            <w:tcBorders>
              <w:right w:val="single" w:sz="4" w:space="0" w:color="auto"/>
            </w:tcBorders>
            <w:vAlign w:val="center"/>
          </w:tcPr>
          <w:p w:rsidR="00A910F8" w:rsidRDefault="00E07596">
            <w:pPr>
              <w:spacing w:line="360" w:lineRule="auto"/>
              <w:jc w:val="center"/>
              <w:rPr>
                <w:rFonts w:ascii="楷体" w:eastAsia="楷体" w:hAnsi="楷体" w:cs="楷体"/>
                <w:kern w:val="0"/>
                <w:sz w:val="24"/>
                <w:szCs w:val="24"/>
              </w:rPr>
            </w:pPr>
            <w:r>
              <w:rPr>
                <w:rFonts w:ascii="楷体" w:eastAsia="楷体" w:hAnsi="楷体" w:cs="楷体" w:hint="eastAsia"/>
                <w:sz w:val="24"/>
                <w:szCs w:val="24"/>
              </w:rPr>
              <w:lastRenderedPageBreak/>
              <w:t>3</w:t>
            </w:r>
          </w:p>
        </w:tc>
        <w:tc>
          <w:tcPr>
            <w:tcW w:w="1553" w:type="pct"/>
            <w:tcBorders>
              <w:left w:val="single" w:sz="4" w:space="0" w:color="auto"/>
            </w:tcBorders>
            <w:vAlign w:val="center"/>
          </w:tcPr>
          <w:p w:rsidR="00A910F8" w:rsidRDefault="00E07596">
            <w:pPr>
              <w:widowControl/>
              <w:spacing w:line="500" w:lineRule="exact"/>
              <w:jc w:val="center"/>
              <w:textAlignment w:val="center"/>
              <w:rPr>
                <w:rFonts w:ascii="楷体" w:eastAsia="楷体" w:hAnsi="楷体" w:cs="楷体"/>
                <w:sz w:val="24"/>
                <w:szCs w:val="24"/>
              </w:rPr>
            </w:pPr>
            <w:r>
              <w:rPr>
                <w:rFonts w:ascii="楷体" w:eastAsia="楷体" w:hAnsi="楷体" w:cs="楷体" w:hint="eastAsia"/>
                <w:kern w:val="0"/>
                <w:sz w:val="24"/>
                <w:szCs w:val="24"/>
                <w:lang w:bidi="ar"/>
              </w:rPr>
              <w:t>城市集聚与城市创新：驱动机制、实证检验与政策优化</w:t>
            </w:r>
          </w:p>
        </w:tc>
        <w:tc>
          <w:tcPr>
            <w:tcW w:w="704" w:type="pct"/>
            <w:vAlign w:val="center"/>
          </w:tcPr>
          <w:p w:rsidR="00A910F8" w:rsidRDefault="00E07596">
            <w:pPr>
              <w:widowControl/>
              <w:jc w:val="center"/>
              <w:textAlignment w:val="center"/>
              <w:rPr>
                <w:rFonts w:ascii="楷体" w:eastAsia="楷体" w:hAnsi="楷体" w:cs="楷体"/>
                <w:sz w:val="24"/>
                <w:szCs w:val="24"/>
              </w:rPr>
            </w:pPr>
            <w:r>
              <w:rPr>
                <w:rFonts w:ascii="楷体" w:eastAsia="楷体" w:hAnsi="楷体" w:cs="楷体" w:hint="eastAsia"/>
                <w:kern w:val="0"/>
                <w:sz w:val="24"/>
                <w:szCs w:val="24"/>
                <w:lang w:bidi="ar"/>
              </w:rPr>
              <w:t>潘辉</w:t>
            </w:r>
          </w:p>
        </w:tc>
        <w:tc>
          <w:tcPr>
            <w:tcW w:w="1487" w:type="pct"/>
            <w:tcBorders>
              <w:right w:val="single" w:sz="4" w:space="0" w:color="auto"/>
            </w:tcBorders>
            <w:vAlign w:val="center"/>
          </w:tcPr>
          <w:p w:rsidR="00A910F8" w:rsidRDefault="00E07596">
            <w:pPr>
              <w:widowControl/>
              <w:jc w:val="center"/>
              <w:textAlignment w:val="center"/>
              <w:rPr>
                <w:rFonts w:ascii="楷体" w:eastAsia="楷体" w:hAnsi="楷体" w:cs="楷体"/>
                <w:sz w:val="24"/>
                <w:szCs w:val="24"/>
              </w:rPr>
            </w:pPr>
            <w:r>
              <w:rPr>
                <w:rFonts w:ascii="楷体" w:eastAsia="楷体" w:hAnsi="楷体" w:cs="楷体" w:hint="eastAsia"/>
                <w:kern w:val="0"/>
                <w:sz w:val="24"/>
                <w:szCs w:val="24"/>
                <w:lang w:bidi="ar"/>
              </w:rPr>
              <w:t>教育部人文社科</w:t>
            </w:r>
          </w:p>
        </w:tc>
        <w:tc>
          <w:tcPr>
            <w:tcW w:w="872" w:type="pct"/>
            <w:tcBorders>
              <w:left w:val="single" w:sz="4" w:space="0" w:color="auto"/>
              <w:right w:val="single" w:sz="4" w:space="0" w:color="auto"/>
            </w:tcBorders>
            <w:vAlign w:val="center"/>
          </w:tcPr>
          <w:p w:rsidR="00A910F8" w:rsidRDefault="00E07596">
            <w:pPr>
              <w:widowControl/>
              <w:jc w:val="center"/>
              <w:textAlignment w:val="center"/>
              <w:rPr>
                <w:rFonts w:ascii="楷体" w:eastAsia="楷体" w:hAnsi="楷体" w:cs="楷体"/>
                <w:sz w:val="24"/>
                <w:szCs w:val="24"/>
              </w:rPr>
            </w:pPr>
            <w:r>
              <w:rPr>
                <w:rFonts w:ascii="楷体" w:eastAsia="楷体" w:hAnsi="楷体" w:cs="楷体" w:hint="eastAsia"/>
                <w:kern w:val="0"/>
                <w:sz w:val="24"/>
                <w:szCs w:val="24"/>
                <w:lang w:bidi="ar"/>
              </w:rPr>
              <w:t>2021.8</w:t>
            </w:r>
          </w:p>
        </w:tc>
      </w:tr>
      <w:tr w:rsidR="00A910F8">
        <w:trPr>
          <w:trHeight w:val="1634"/>
        </w:trPr>
        <w:tc>
          <w:tcPr>
            <w:tcW w:w="384" w:type="pct"/>
            <w:tcBorders>
              <w:right w:val="single" w:sz="4" w:space="0" w:color="auto"/>
            </w:tcBorders>
            <w:vAlign w:val="center"/>
          </w:tcPr>
          <w:p w:rsidR="00A910F8" w:rsidRDefault="00E07596">
            <w:pPr>
              <w:spacing w:line="360" w:lineRule="auto"/>
              <w:jc w:val="center"/>
              <w:rPr>
                <w:rFonts w:ascii="楷体" w:eastAsia="楷体" w:hAnsi="楷体" w:cs="楷体"/>
                <w:sz w:val="24"/>
                <w:szCs w:val="24"/>
              </w:rPr>
            </w:pPr>
            <w:r>
              <w:rPr>
                <w:rFonts w:ascii="楷体" w:eastAsia="楷体" w:hAnsi="楷体" w:cs="楷体" w:hint="eastAsia"/>
                <w:bCs/>
                <w:sz w:val="24"/>
                <w:szCs w:val="24"/>
              </w:rPr>
              <w:t>4</w:t>
            </w:r>
          </w:p>
        </w:tc>
        <w:tc>
          <w:tcPr>
            <w:tcW w:w="1553" w:type="pct"/>
            <w:tcBorders>
              <w:left w:val="single" w:sz="4" w:space="0" w:color="auto"/>
            </w:tcBorders>
            <w:vAlign w:val="center"/>
          </w:tcPr>
          <w:p w:rsidR="00A910F8" w:rsidRDefault="00E07596">
            <w:pPr>
              <w:widowControl/>
              <w:spacing w:line="500" w:lineRule="exact"/>
              <w:jc w:val="center"/>
              <w:textAlignment w:val="center"/>
              <w:rPr>
                <w:rFonts w:ascii="楷体" w:eastAsia="楷体" w:hAnsi="楷体" w:cs="楷体"/>
                <w:sz w:val="24"/>
                <w:szCs w:val="24"/>
              </w:rPr>
            </w:pPr>
            <w:r>
              <w:rPr>
                <w:rFonts w:ascii="楷体" w:eastAsia="楷体" w:hAnsi="楷体" w:cs="楷体" w:hint="eastAsia"/>
                <w:kern w:val="0"/>
                <w:sz w:val="24"/>
                <w:szCs w:val="24"/>
                <w:lang w:bidi="ar"/>
              </w:rPr>
              <w:t>“后疫情时代”兼顾安全与收益的中国企业海外投资区位行业布局研究</w:t>
            </w:r>
          </w:p>
        </w:tc>
        <w:tc>
          <w:tcPr>
            <w:tcW w:w="704" w:type="pct"/>
            <w:vAlign w:val="center"/>
          </w:tcPr>
          <w:p w:rsidR="00A910F8" w:rsidRDefault="00E07596">
            <w:pPr>
              <w:widowControl/>
              <w:jc w:val="center"/>
              <w:textAlignment w:val="center"/>
              <w:rPr>
                <w:rFonts w:ascii="楷体" w:eastAsia="楷体" w:hAnsi="楷体" w:cs="楷体"/>
                <w:sz w:val="24"/>
                <w:szCs w:val="24"/>
              </w:rPr>
            </w:pPr>
            <w:r>
              <w:rPr>
                <w:rFonts w:ascii="楷体" w:eastAsia="楷体" w:hAnsi="楷体" w:cs="楷体" w:hint="eastAsia"/>
                <w:kern w:val="0"/>
                <w:sz w:val="24"/>
                <w:szCs w:val="24"/>
                <w:lang w:bidi="ar"/>
              </w:rPr>
              <w:t>孙好雨</w:t>
            </w:r>
          </w:p>
        </w:tc>
        <w:tc>
          <w:tcPr>
            <w:tcW w:w="1487" w:type="pct"/>
            <w:tcBorders>
              <w:right w:val="single" w:sz="4" w:space="0" w:color="auto"/>
            </w:tcBorders>
            <w:vAlign w:val="center"/>
          </w:tcPr>
          <w:p w:rsidR="00A910F8" w:rsidRDefault="00E07596">
            <w:pPr>
              <w:widowControl/>
              <w:jc w:val="center"/>
              <w:textAlignment w:val="center"/>
              <w:rPr>
                <w:rFonts w:ascii="楷体" w:eastAsia="楷体" w:hAnsi="楷体" w:cs="楷体"/>
                <w:sz w:val="24"/>
                <w:szCs w:val="24"/>
              </w:rPr>
            </w:pPr>
            <w:r>
              <w:rPr>
                <w:rFonts w:ascii="楷体" w:eastAsia="楷体" w:hAnsi="楷体" w:cs="楷体" w:hint="eastAsia"/>
                <w:kern w:val="0"/>
                <w:sz w:val="24"/>
                <w:szCs w:val="24"/>
                <w:lang w:bidi="ar"/>
              </w:rPr>
              <w:t>国家社科基金青年项目21CJY022</w:t>
            </w:r>
          </w:p>
        </w:tc>
        <w:tc>
          <w:tcPr>
            <w:tcW w:w="872" w:type="pct"/>
            <w:tcBorders>
              <w:left w:val="single" w:sz="4" w:space="0" w:color="auto"/>
              <w:right w:val="single" w:sz="4" w:space="0" w:color="auto"/>
            </w:tcBorders>
            <w:vAlign w:val="center"/>
          </w:tcPr>
          <w:p w:rsidR="00A910F8" w:rsidRDefault="00E07596">
            <w:pPr>
              <w:widowControl/>
              <w:jc w:val="center"/>
              <w:textAlignment w:val="center"/>
              <w:rPr>
                <w:rFonts w:ascii="楷体" w:eastAsia="楷体" w:hAnsi="楷体" w:cs="楷体"/>
                <w:sz w:val="24"/>
                <w:szCs w:val="24"/>
              </w:rPr>
            </w:pPr>
            <w:r>
              <w:rPr>
                <w:rFonts w:ascii="楷体" w:eastAsia="楷体" w:hAnsi="楷体" w:cs="楷体" w:hint="eastAsia"/>
                <w:kern w:val="0"/>
                <w:sz w:val="24"/>
                <w:szCs w:val="24"/>
                <w:lang w:bidi="ar"/>
              </w:rPr>
              <w:t>2021．9.24</w:t>
            </w:r>
          </w:p>
        </w:tc>
      </w:tr>
    </w:tbl>
    <w:p w:rsidR="00A910F8" w:rsidRDefault="00A910F8" w:rsidP="00D02887">
      <w:pPr>
        <w:widowControl/>
        <w:spacing w:line="500" w:lineRule="exact"/>
        <w:ind w:firstLineChars="200" w:firstLine="474"/>
        <w:jc w:val="center"/>
        <w:rPr>
          <w:rFonts w:ascii="楷体" w:eastAsia="楷体" w:hAnsi="楷体" w:cs="楷体"/>
          <w:b/>
          <w:bCs/>
          <w:color w:val="000000"/>
          <w:kern w:val="0"/>
          <w:sz w:val="24"/>
          <w:szCs w:val="24"/>
        </w:rPr>
      </w:pPr>
    </w:p>
    <w:p w:rsidR="00A910F8" w:rsidRDefault="00E07596" w:rsidP="00D02887">
      <w:pPr>
        <w:widowControl/>
        <w:spacing w:line="500" w:lineRule="exact"/>
        <w:ind w:firstLineChars="200" w:firstLine="474"/>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表2-6 2020-2021学年教师获奖情况表</w:t>
      </w:r>
    </w:p>
    <w:tbl>
      <w:tblPr>
        <w:tblW w:w="5386" w:type="pct"/>
        <w:jc w:val="center"/>
        <w:tblLook w:val="04A0" w:firstRow="1" w:lastRow="0" w:firstColumn="1" w:lastColumn="0" w:noHBand="0" w:noVBand="1"/>
      </w:tblPr>
      <w:tblGrid>
        <w:gridCol w:w="487"/>
        <w:gridCol w:w="4511"/>
        <w:gridCol w:w="844"/>
        <w:gridCol w:w="2508"/>
        <w:gridCol w:w="1411"/>
      </w:tblGrid>
      <w:tr w:rsidR="00A910F8">
        <w:trPr>
          <w:trHeight w:val="492"/>
          <w:tblHeader/>
          <w:jc w:val="center"/>
        </w:trPr>
        <w:tc>
          <w:tcPr>
            <w:tcW w:w="2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910F8" w:rsidRDefault="00E07596">
            <w:pPr>
              <w:ind w:leftChars="-50" w:left="-158" w:rightChars="-50" w:right="-158"/>
              <w:jc w:val="center"/>
              <w:rPr>
                <w:rFonts w:ascii="楷体" w:eastAsia="楷体" w:hAnsi="楷体" w:cs="楷体"/>
                <w:b/>
                <w:bCs/>
                <w:color w:val="000000"/>
                <w:sz w:val="24"/>
                <w:szCs w:val="24"/>
              </w:rPr>
            </w:pPr>
            <w:r>
              <w:rPr>
                <w:rFonts w:ascii="楷体" w:eastAsia="楷体" w:hAnsi="楷体" w:cs="楷体" w:hint="eastAsia"/>
                <w:b/>
                <w:bCs/>
                <w:color w:val="000000"/>
                <w:sz w:val="24"/>
                <w:szCs w:val="24"/>
              </w:rPr>
              <w:t>序号</w:t>
            </w:r>
          </w:p>
        </w:tc>
        <w:tc>
          <w:tcPr>
            <w:tcW w:w="2312" w:type="pct"/>
            <w:tcBorders>
              <w:top w:val="single" w:sz="4" w:space="0" w:color="auto"/>
              <w:left w:val="nil"/>
              <w:bottom w:val="single" w:sz="4" w:space="0" w:color="auto"/>
              <w:right w:val="single" w:sz="4" w:space="0" w:color="auto"/>
            </w:tcBorders>
            <w:shd w:val="clear" w:color="auto" w:fill="E7E6E6" w:themeFill="background2"/>
            <w:noWrap/>
            <w:vAlign w:val="center"/>
          </w:tcPr>
          <w:p w:rsidR="00A910F8" w:rsidRDefault="00E07596">
            <w:pPr>
              <w:ind w:leftChars="-50" w:left="-158" w:rightChars="-50" w:right="-158"/>
              <w:jc w:val="center"/>
              <w:rPr>
                <w:rFonts w:ascii="楷体" w:eastAsia="楷体" w:hAnsi="楷体" w:cs="楷体"/>
                <w:b/>
                <w:bCs/>
                <w:color w:val="000000"/>
                <w:sz w:val="24"/>
                <w:szCs w:val="24"/>
              </w:rPr>
            </w:pPr>
            <w:r>
              <w:rPr>
                <w:rFonts w:ascii="楷体" w:eastAsia="楷体" w:hAnsi="楷体" w:cs="楷体" w:hint="eastAsia"/>
                <w:b/>
                <w:bCs/>
                <w:color w:val="000000"/>
                <w:sz w:val="24"/>
                <w:szCs w:val="24"/>
              </w:rPr>
              <w:t>获奖名称</w:t>
            </w:r>
          </w:p>
        </w:tc>
        <w:tc>
          <w:tcPr>
            <w:tcW w:w="423" w:type="pct"/>
            <w:tcBorders>
              <w:top w:val="single" w:sz="4" w:space="0" w:color="auto"/>
              <w:left w:val="nil"/>
              <w:bottom w:val="single" w:sz="4" w:space="0" w:color="auto"/>
              <w:right w:val="single" w:sz="4" w:space="0" w:color="auto"/>
            </w:tcBorders>
            <w:shd w:val="clear" w:color="auto" w:fill="E7E6E6" w:themeFill="background2"/>
            <w:noWrap/>
            <w:vAlign w:val="center"/>
          </w:tcPr>
          <w:p w:rsidR="00A910F8" w:rsidRDefault="00E07596">
            <w:pPr>
              <w:ind w:leftChars="-50" w:left="-158" w:rightChars="-50" w:right="-158"/>
              <w:jc w:val="center"/>
              <w:rPr>
                <w:rFonts w:ascii="楷体" w:eastAsia="楷体" w:hAnsi="楷体" w:cs="楷体"/>
                <w:b/>
                <w:bCs/>
                <w:color w:val="000000"/>
                <w:sz w:val="24"/>
                <w:szCs w:val="24"/>
              </w:rPr>
            </w:pPr>
            <w:r>
              <w:rPr>
                <w:rFonts w:ascii="楷体" w:eastAsia="楷体" w:hAnsi="楷体" w:cs="楷体" w:hint="eastAsia"/>
                <w:b/>
                <w:bCs/>
                <w:color w:val="000000"/>
                <w:sz w:val="24"/>
                <w:szCs w:val="24"/>
              </w:rPr>
              <w:t>级别</w:t>
            </w:r>
          </w:p>
        </w:tc>
        <w:tc>
          <w:tcPr>
            <w:tcW w:w="1286" w:type="pct"/>
            <w:tcBorders>
              <w:top w:val="single" w:sz="4" w:space="0" w:color="auto"/>
              <w:left w:val="nil"/>
              <w:bottom w:val="single" w:sz="4" w:space="0" w:color="auto"/>
              <w:right w:val="single" w:sz="4" w:space="0" w:color="auto"/>
            </w:tcBorders>
            <w:shd w:val="clear" w:color="auto" w:fill="E7E6E6" w:themeFill="background2"/>
            <w:noWrap/>
            <w:vAlign w:val="center"/>
          </w:tcPr>
          <w:p w:rsidR="00A910F8" w:rsidRDefault="00E07596">
            <w:pPr>
              <w:ind w:leftChars="-50" w:left="-158" w:rightChars="-50" w:right="-158"/>
              <w:jc w:val="center"/>
              <w:rPr>
                <w:rFonts w:ascii="楷体" w:eastAsia="楷体" w:hAnsi="楷体" w:cs="楷体"/>
                <w:b/>
                <w:bCs/>
                <w:color w:val="000000"/>
                <w:sz w:val="24"/>
                <w:szCs w:val="24"/>
              </w:rPr>
            </w:pPr>
            <w:r>
              <w:rPr>
                <w:rFonts w:ascii="楷体" w:eastAsia="楷体" w:hAnsi="楷体" w:cs="楷体" w:hint="eastAsia"/>
                <w:b/>
                <w:bCs/>
                <w:color w:val="000000"/>
                <w:sz w:val="24"/>
                <w:szCs w:val="24"/>
              </w:rPr>
              <w:t>负责人</w:t>
            </w:r>
          </w:p>
        </w:tc>
        <w:tc>
          <w:tcPr>
            <w:tcW w:w="725" w:type="pct"/>
            <w:tcBorders>
              <w:top w:val="single" w:sz="4" w:space="0" w:color="auto"/>
              <w:left w:val="nil"/>
              <w:bottom w:val="single" w:sz="4" w:space="0" w:color="auto"/>
              <w:right w:val="single" w:sz="4" w:space="0" w:color="auto"/>
            </w:tcBorders>
            <w:shd w:val="clear" w:color="auto" w:fill="E7E6E6" w:themeFill="background2"/>
            <w:noWrap/>
            <w:vAlign w:val="center"/>
          </w:tcPr>
          <w:p w:rsidR="00A910F8" w:rsidRDefault="00E07596">
            <w:pPr>
              <w:ind w:leftChars="-50" w:left="-158" w:rightChars="-50" w:right="-158"/>
              <w:jc w:val="center"/>
              <w:rPr>
                <w:rFonts w:ascii="楷体" w:eastAsia="楷体" w:hAnsi="楷体" w:cs="楷体"/>
                <w:b/>
                <w:bCs/>
                <w:color w:val="000000"/>
                <w:sz w:val="24"/>
                <w:szCs w:val="24"/>
              </w:rPr>
            </w:pPr>
            <w:r>
              <w:rPr>
                <w:rFonts w:ascii="楷体" w:eastAsia="楷体" w:hAnsi="楷体" w:cs="楷体" w:hint="eastAsia"/>
                <w:b/>
                <w:bCs/>
                <w:color w:val="000000"/>
                <w:sz w:val="24"/>
                <w:szCs w:val="24"/>
              </w:rPr>
              <w:t>获奖日期</w:t>
            </w:r>
          </w:p>
        </w:tc>
      </w:tr>
      <w:tr w:rsidR="00A910F8">
        <w:trPr>
          <w:trHeight w:val="1391"/>
          <w:jc w:val="center"/>
        </w:trPr>
        <w:tc>
          <w:tcPr>
            <w:tcW w:w="252"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1</w:t>
            </w:r>
          </w:p>
        </w:tc>
        <w:tc>
          <w:tcPr>
            <w:tcW w:w="2312" w:type="pct"/>
            <w:tcBorders>
              <w:top w:val="nil"/>
              <w:left w:val="nil"/>
              <w:bottom w:val="single" w:sz="4" w:space="0" w:color="auto"/>
              <w:right w:val="single" w:sz="4" w:space="0" w:color="auto"/>
            </w:tcBorders>
            <w:shd w:val="clear" w:color="auto" w:fill="auto"/>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2020年校先进教育工作者</w:t>
            </w:r>
          </w:p>
        </w:tc>
        <w:tc>
          <w:tcPr>
            <w:tcW w:w="423" w:type="pct"/>
            <w:tcBorders>
              <w:top w:val="nil"/>
              <w:left w:val="nil"/>
              <w:bottom w:val="single" w:sz="4" w:space="0" w:color="auto"/>
              <w:right w:val="single" w:sz="4" w:space="0" w:color="auto"/>
            </w:tcBorders>
            <w:shd w:val="clear" w:color="auto" w:fill="auto"/>
            <w:vAlign w:val="center"/>
          </w:tcPr>
          <w:p w:rsidR="00A910F8" w:rsidRDefault="00E07596">
            <w:pPr>
              <w:spacing w:line="520" w:lineRule="exact"/>
              <w:ind w:leftChars="-50" w:left="-158" w:rightChars="-50" w:right="-158"/>
              <w:jc w:val="left"/>
              <w:rPr>
                <w:rFonts w:ascii="楷体" w:eastAsia="楷体" w:hAnsi="楷体" w:cs="楷体"/>
                <w:color w:val="000000"/>
                <w:sz w:val="24"/>
                <w:szCs w:val="24"/>
              </w:rPr>
            </w:pPr>
            <w:r>
              <w:rPr>
                <w:rFonts w:ascii="楷体" w:eastAsia="楷体" w:hAnsi="楷体" w:cs="楷体" w:hint="eastAsia"/>
                <w:color w:val="000000"/>
                <w:sz w:val="24"/>
                <w:szCs w:val="24"/>
              </w:rPr>
              <w:t xml:space="preserve">　校级</w:t>
            </w:r>
          </w:p>
        </w:tc>
        <w:tc>
          <w:tcPr>
            <w:tcW w:w="1286" w:type="pct"/>
            <w:tcBorders>
              <w:top w:val="nil"/>
              <w:left w:val="nil"/>
              <w:bottom w:val="single" w:sz="4" w:space="0" w:color="auto"/>
              <w:right w:val="single" w:sz="4" w:space="0" w:color="auto"/>
            </w:tcBorders>
            <w:shd w:val="clear" w:color="auto" w:fill="auto"/>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张燕</w:t>
            </w:r>
          </w:p>
        </w:tc>
        <w:tc>
          <w:tcPr>
            <w:tcW w:w="725" w:type="pct"/>
            <w:tcBorders>
              <w:top w:val="nil"/>
              <w:left w:val="nil"/>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2020.07</w:t>
            </w:r>
          </w:p>
        </w:tc>
      </w:tr>
      <w:tr w:rsidR="00A910F8">
        <w:trPr>
          <w:trHeight w:val="1185"/>
          <w:jc w:val="center"/>
        </w:trPr>
        <w:tc>
          <w:tcPr>
            <w:tcW w:w="252"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2</w:t>
            </w:r>
          </w:p>
        </w:tc>
        <w:tc>
          <w:tcPr>
            <w:tcW w:w="2312" w:type="pct"/>
            <w:tcBorders>
              <w:top w:val="nil"/>
              <w:left w:val="nil"/>
              <w:bottom w:val="single" w:sz="4" w:space="0" w:color="auto"/>
              <w:right w:val="single" w:sz="4" w:space="0" w:color="auto"/>
            </w:tcBorders>
            <w:shd w:val="clear" w:color="auto" w:fill="auto"/>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2020年新商科应用型人才培养长三角论坛优秀</w:t>
            </w:r>
          </w:p>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案例（线上线下混合式教学在《国际商务谈判》</w:t>
            </w:r>
          </w:p>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的运用）</w:t>
            </w:r>
          </w:p>
        </w:tc>
        <w:tc>
          <w:tcPr>
            <w:tcW w:w="423" w:type="pct"/>
            <w:tcBorders>
              <w:top w:val="nil"/>
              <w:left w:val="nil"/>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left"/>
              <w:rPr>
                <w:rFonts w:ascii="楷体" w:eastAsia="楷体" w:hAnsi="楷体" w:cs="楷体"/>
                <w:color w:val="000000"/>
                <w:sz w:val="24"/>
                <w:szCs w:val="24"/>
              </w:rPr>
            </w:pPr>
            <w:r>
              <w:rPr>
                <w:rFonts w:ascii="楷体" w:eastAsia="楷体" w:hAnsi="楷体" w:cs="楷体" w:hint="eastAsia"/>
                <w:color w:val="000000"/>
                <w:sz w:val="24"/>
                <w:szCs w:val="24"/>
              </w:rPr>
              <w:t xml:space="preserve">　省部级</w:t>
            </w:r>
          </w:p>
        </w:tc>
        <w:tc>
          <w:tcPr>
            <w:tcW w:w="1286" w:type="pct"/>
            <w:tcBorders>
              <w:top w:val="nil"/>
              <w:left w:val="nil"/>
              <w:bottom w:val="single" w:sz="4" w:space="0" w:color="auto"/>
              <w:right w:val="single" w:sz="4" w:space="0" w:color="auto"/>
            </w:tcBorders>
            <w:shd w:val="clear" w:color="auto" w:fill="auto"/>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张燕</w:t>
            </w:r>
          </w:p>
        </w:tc>
        <w:tc>
          <w:tcPr>
            <w:tcW w:w="725" w:type="pct"/>
            <w:tcBorders>
              <w:top w:val="nil"/>
              <w:left w:val="nil"/>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2020.09</w:t>
            </w:r>
          </w:p>
        </w:tc>
      </w:tr>
      <w:tr w:rsidR="00A910F8">
        <w:trPr>
          <w:trHeight w:val="1620"/>
          <w:jc w:val="center"/>
        </w:trPr>
        <w:tc>
          <w:tcPr>
            <w:tcW w:w="252"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3</w:t>
            </w:r>
          </w:p>
        </w:tc>
        <w:tc>
          <w:tcPr>
            <w:tcW w:w="2312"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2020年全国高校商业精英挑战赛国际贸易竞赛优秀辅导老师</w:t>
            </w:r>
          </w:p>
        </w:tc>
        <w:tc>
          <w:tcPr>
            <w:tcW w:w="423" w:type="pct"/>
            <w:tcBorders>
              <w:top w:val="nil"/>
              <w:left w:val="nil"/>
              <w:bottom w:val="single" w:sz="4" w:space="0" w:color="auto"/>
              <w:right w:val="single" w:sz="4" w:space="0" w:color="auto"/>
            </w:tcBorders>
            <w:shd w:val="clear" w:color="auto" w:fill="auto"/>
            <w:noWrap/>
            <w:vAlign w:val="center"/>
          </w:tcPr>
          <w:p w:rsidR="00A910F8" w:rsidRDefault="00E07596">
            <w:pPr>
              <w:spacing w:line="40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省部级</w:t>
            </w:r>
          </w:p>
        </w:tc>
        <w:tc>
          <w:tcPr>
            <w:tcW w:w="1286"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杨勣</w:t>
            </w:r>
          </w:p>
        </w:tc>
        <w:tc>
          <w:tcPr>
            <w:tcW w:w="725" w:type="pct"/>
            <w:tcBorders>
              <w:top w:val="nil"/>
              <w:left w:val="nil"/>
              <w:bottom w:val="single" w:sz="4" w:space="0" w:color="auto"/>
              <w:right w:val="single" w:sz="4" w:space="0" w:color="auto"/>
            </w:tcBorders>
            <w:shd w:val="clear" w:color="auto" w:fill="auto"/>
            <w:noWrap/>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2020.10.19</w:t>
            </w:r>
          </w:p>
        </w:tc>
      </w:tr>
      <w:tr w:rsidR="00A910F8">
        <w:trPr>
          <w:trHeight w:val="799"/>
          <w:jc w:val="center"/>
        </w:trPr>
        <w:tc>
          <w:tcPr>
            <w:tcW w:w="252"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4</w:t>
            </w:r>
          </w:p>
        </w:tc>
        <w:tc>
          <w:tcPr>
            <w:tcW w:w="2312"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第二届全国新零售创新创业技能模拟赛优秀指导老师</w:t>
            </w:r>
          </w:p>
        </w:tc>
        <w:tc>
          <w:tcPr>
            <w:tcW w:w="423" w:type="pct"/>
            <w:tcBorders>
              <w:top w:val="nil"/>
              <w:left w:val="nil"/>
              <w:bottom w:val="single" w:sz="4" w:space="0" w:color="auto"/>
              <w:right w:val="single" w:sz="4" w:space="0" w:color="auto"/>
            </w:tcBorders>
            <w:shd w:val="clear" w:color="auto" w:fill="auto"/>
            <w:noWrap/>
            <w:vAlign w:val="center"/>
          </w:tcPr>
          <w:p w:rsidR="00A910F8" w:rsidRDefault="00E07596">
            <w:pPr>
              <w:spacing w:line="40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省部级</w:t>
            </w:r>
          </w:p>
        </w:tc>
        <w:tc>
          <w:tcPr>
            <w:tcW w:w="1286"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彭越、高磊</w:t>
            </w:r>
          </w:p>
        </w:tc>
        <w:tc>
          <w:tcPr>
            <w:tcW w:w="725" w:type="pct"/>
            <w:tcBorders>
              <w:top w:val="nil"/>
              <w:left w:val="nil"/>
              <w:bottom w:val="single" w:sz="4" w:space="0" w:color="auto"/>
              <w:right w:val="single" w:sz="4" w:space="0" w:color="auto"/>
            </w:tcBorders>
            <w:shd w:val="clear" w:color="auto" w:fill="auto"/>
            <w:noWrap/>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2020.11</w:t>
            </w:r>
          </w:p>
        </w:tc>
      </w:tr>
      <w:tr w:rsidR="00A910F8">
        <w:trPr>
          <w:trHeight w:val="748"/>
          <w:jc w:val="center"/>
        </w:trPr>
        <w:tc>
          <w:tcPr>
            <w:tcW w:w="252"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5</w:t>
            </w:r>
          </w:p>
        </w:tc>
        <w:tc>
          <w:tcPr>
            <w:tcW w:w="2312"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2020年全国高校商业精英挑战赛商务谈判竞赛优秀指导老师、最佳院校组织奖</w:t>
            </w:r>
          </w:p>
        </w:tc>
        <w:tc>
          <w:tcPr>
            <w:tcW w:w="423" w:type="pct"/>
            <w:tcBorders>
              <w:top w:val="nil"/>
              <w:left w:val="nil"/>
              <w:bottom w:val="single" w:sz="4" w:space="0" w:color="auto"/>
              <w:right w:val="single" w:sz="4" w:space="0" w:color="auto"/>
            </w:tcBorders>
            <w:shd w:val="clear" w:color="auto" w:fill="auto"/>
            <w:noWrap/>
            <w:vAlign w:val="center"/>
          </w:tcPr>
          <w:p w:rsidR="00A910F8" w:rsidRDefault="00E07596">
            <w:pPr>
              <w:spacing w:line="40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省部级</w:t>
            </w:r>
          </w:p>
        </w:tc>
        <w:tc>
          <w:tcPr>
            <w:tcW w:w="1286"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张燕、孙晓霓、顾旻燕</w:t>
            </w:r>
          </w:p>
        </w:tc>
        <w:tc>
          <w:tcPr>
            <w:tcW w:w="725" w:type="pct"/>
            <w:tcBorders>
              <w:top w:val="nil"/>
              <w:left w:val="nil"/>
              <w:bottom w:val="single" w:sz="4" w:space="0" w:color="auto"/>
              <w:right w:val="single" w:sz="4" w:space="0" w:color="auto"/>
            </w:tcBorders>
            <w:shd w:val="clear" w:color="auto" w:fill="auto"/>
            <w:noWrap/>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2020.11</w:t>
            </w:r>
          </w:p>
        </w:tc>
      </w:tr>
      <w:tr w:rsidR="00A910F8">
        <w:trPr>
          <w:trHeight w:val="799"/>
          <w:jc w:val="center"/>
        </w:trPr>
        <w:tc>
          <w:tcPr>
            <w:tcW w:w="252"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6</w:t>
            </w:r>
          </w:p>
        </w:tc>
        <w:tc>
          <w:tcPr>
            <w:tcW w:w="2312"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POCIB全国外贸从业能力大赛（2020-2021</w:t>
            </w:r>
            <w:r>
              <w:rPr>
                <w:rFonts w:ascii="楷体" w:eastAsia="楷体" w:hAnsi="楷体" w:cs="楷体" w:hint="eastAsia"/>
                <w:color w:val="000000"/>
                <w:kern w:val="0"/>
                <w:sz w:val="24"/>
                <w:szCs w:val="24"/>
                <w:lang w:bidi="ar"/>
              </w:rPr>
              <w:lastRenderedPageBreak/>
              <w:t>赛季）指导教师二等奖</w:t>
            </w:r>
          </w:p>
        </w:tc>
        <w:tc>
          <w:tcPr>
            <w:tcW w:w="423" w:type="pct"/>
            <w:tcBorders>
              <w:top w:val="nil"/>
              <w:left w:val="nil"/>
              <w:bottom w:val="single" w:sz="4" w:space="0" w:color="auto"/>
              <w:right w:val="single" w:sz="4" w:space="0" w:color="auto"/>
            </w:tcBorders>
            <w:shd w:val="clear" w:color="auto" w:fill="auto"/>
            <w:noWrap/>
            <w:vAlign w:val="center"/>
          </w:tcPr>
          <w:p w:rsidR="00A910F8" w:rsidRDefault="00E07596">
            <w:pPr>
              <w:spacing w:line="40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lastRenderedPageBreak/>
              <w:t>省部级</w:t>
            </w:r>
          </w:p>
        </w:tc>
        <w:tc>
          <w:tcPr>
            <w:tcW w:w="1286"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高鸣霞、孔炯炯</w:t>
            </w:r>
          </w:p>
        </w:tc>
        <w:tc>
          <w:tcPr>
            <w:tcW w:w="725" w:type="pct"/>
            <w:tcBorders>
              <w:top w:val="nil"/>
              <w:left w:val="nil"/>
              <w:bottom w:val="single" w:sz="4" w:space="0" w:color="auto"/>
              <w:right w:val="single" w:sz="4" w:space="0" w:color="auto"/>
            </w:tcBorders>
            <w:shd w:val="clear" w:color="auto" w:fill="auto"/>
            <w:noWrap/>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2020.11</w:t>
            </w:r>
          </w:p>
        </w:tc>
      </w:tr>
      <w:tr w:rsidR="00A910F8">
        <w:trPr>
          <w:trHeight w:val="1155"/>
          <w:jc w:val="center"/>
        </w:trPr>
        <w:tc>
          <w:tcPr>
            <w:tcW w:w="252"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lastRenderedPageBreak/>
              <w:t>7</w:t>
            </w:r>
          </w:p>
        </w:tc>
        <w:tc>
          <w:tcPr>
            <w:tcW w:w="2312"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2020年就业工作推荐奖</w:t>
            </w:r>
          </w:p>
        </w:tc>
        <w:tc>
          <w:tcPr>
            <w:tcW w:w="423" w:type="pct"/>
            <w:tcBorders>
              <w:top w:val="nil"/>
              <w:left w:val="nil"/>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校级</w:t>
            </w:r>
          </w:p>
        </w:tc>
        <w:tc>
          <w:tcPr>
            <w:tcW w:w="1286"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舒杏、程振强</w:t>
            </w:r>
          </w:p>
        </w:tc>
        <w:tc>
          <w:tcPr>
            <w:tcW w:w="725" w:type="pct"/>
            <w:tcBorders>
              <w:top w:val="nil"/>
              <w:left w:val="nil"/>
              <w:bottom w:val="single" w:sz="4" w:space="0" w:color="auto"/>
              <w:right w:val="single" w:sz="4" w:space="0" w:color="auto"/>
            </w:tcBorders>
            <w:shd w:val="clear" w:color="auto" w:fill="auto"/>
            <w:noWrap/>
            <w:vAlign w:val="center"/>
          </w:tcPr>
          <w:p w:rsidR="00A910F8" w:rsidRDefault="00E07596">
            <w:pPr>
              <w:widowControl/>
              <w:jc w:val="center"/>
              <w:textAlignment w:val="center"/>
              <w:rPr>
                <w:rFonts w:ascii="楷体" w:eastAsia="楷体" w:hAnsi="楷体" w:cs="楷体"/>
                <w:color w:val="000000"/>
                <w:sz w:val="24"/>
                <w:szCs w:val="24"/>
              </w:rPr>
            </w:pPr>
            <w:r>
              <w:rPr>
                <w:rStyle w:val="font21"/>
                <w:rFonts w:ascii="楷体" w:eastAsia="楷体" w:hAnsi="楷体" w:cs="楷体" w:hint="default"/>
                <w:sz w:val="24"/>
                <w:szCs w:val="24"/>
                <w:lang w:bidi="ar"/>
              </w:rPr>
              <w:t>2020</w:t>
            </w:r>
            <w:r>
              <w:rPr>
                <w:rStyle w:val="font31"/>
                <w:rFonts w:ascii="楷体" w:eastAsia="楷体" w:hAnsi="楷体" w:cs="楷体" w:hint="default"/>
                <w:sz w:val="24"/>
                <w:szCs w:val="24"/>
                <w:lang w:bidi="ar"/>
              </w:rPr>
              <w:t>.11.10</w:t>
            </w:r>
          </w:p>
        </w:tc>
      </w:tr>
      <w:tr w:rsidR="00A910F8">
        <w:trPr>
          <w:trHeight w:val="799"/>
          <w:jc w:val="center"/>
        </w:trPr>
        <w:tc>
          <w:tcPr>
            <w:tcW w:w="252"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8</w:t>
            </w:r>
          </w:p>
        </w:tc>
        <w:tc>
          <w:tcPr>
            <w:tcW w:w="2312"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kern w:val="0"/>
                <w:sz w:val="24"/>
                <w:szCs w:val="24"/>
                <w:lang w:bidi="ar"/>
              </w:rPr>
            </w:pPr>
            <w:r>
              <w:rPr>
                <w:rFonts w:ascii="楷体" w:eastAsia="楷体" w:hAnsi="楷体" w:cs="楷体" w:hint="eastAsia"/>
                <w:color w:val="000000"/>
                <w:kern w:val="0"/>
                <w:sz w:val="24"/>
                <w:szCs w:val="24"/>
                <w:lang w:bidi="ar"/>
              </w:rPr>
              <w:t>首届教师教学创新大赛</w:t>
            </w:r>
          </w:p>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（副高组三等奖、中级及以下组三等奖）</w:t>
            </w:r>
          </w:p>
        </w:tc>
        <w:tc>
          <w:tcPr>
            <w:tcW w:w="423" w:type="pct"/>
            <w:tcBorders>
              <w:top w:val="nil"/>
              <w:left w:val="nil"/>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校级</w:t>
            </w:r>
          </w:p>
        </w:tc>
        <w:tc>
          <w:tcPr>
            <w:tcW w:w="1286"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张燕、刘明</w:t>
            </w:r>
          </w:p>
        </w:tc>
        <w:tc>
          <w:tcPr>
            <w:tcW w:w="725" w:type="pct"/>
            <w:tcBorders>
              <w:top w:val="nil"/>
              <w:left w:val="nil"/>
              <w:bottom w:val="single" w:sz="4" w:space="0" w:color="auto"/>
              <w:right w:val="single" w:sz="4" w:space="0" w:color="auto"/>
            </w:tcBorders>
            <w:shd w:val="clear" w:color="auto" w:fill="auto"/>
            <w:noWrap/>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2021.01.08</w:t>
            </w:r>
          </w:p>
        </w:tc>
      </w:tr>
      <w:tr w:rsidR="00A910F8">
        <w:trPr>
          <w:trHeight w:val="416"/>
          <w:jc w:val="center"/>
        </w:trPr>
        <w:tc>
          <w:tcPr>
            <w:tcW w:w="252"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9</w:t>
            </w:r>
          </w:p>
        </w:tc>
        <w:tc>
          <w:tcPr>
            <w:tcW w:w="2312"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2019-2020</w:t>
            </w:r>
            <w:r>
              <w:rPr>
                <w:rStyle w:val="font41"/>
                <w:rFonts w:ascii="楷体" w:eastAsia="楷体" w:hAnsi="楷体" w:cs="楷体" w:hint="default"/>
                <w:sz w:val="24"/>
                <w:szCs w:val="24"/>
                <w:lang w:bidi="ar"/>
              </w:rPr>
              <w:t>学年校级教学（管理）优秀奖</w:t>
            </w:r>
          </w:p>
        </w:tc>
        <w:tc>
          <w:tcPr>
            <w:tcW w:w="423" w:type="pct"/>
            <w:tcBorders>
              <w:top w:val="nil"/>
              <w:left w:val="nil"/>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left"/>
              <w:rPr>
                <w:rFonts w:ascii="楷体" w:eastAsia="楷体" w:hAnsi="楷体" w:cs="楷体"/>
                <w:color w:val="000000"/>
                <w:sz w:val="24"/>
                <w:szCs w:val="24"/>
              </w:rPr>
            </w:pPr>
            <w:r>
              <w:rPr>
                <w:rFonts w:ascii="楷体" w:eastAsia="楷体" w:hAnsi="楷体" w:cs="楷体" w:hint="eastAsia"/>
                <w:color w:val="000000"/>
                <w:sz w:val="24"/>
                <w:szCs w:val="24"/>
              </w:rPr>
              <w:t xml:space="preserve">　校级</w:t>
            </w:r>
          </w:p>
        </w:tc>
        <w:tc>
          <w:tcPr>
            <w:tcW w:w="1286" w:type="pct"/>
            <w:tcBorders>
              <w:top w:val="nil"/>
              <w:left w:val="nil"/>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张燕、高鸣霞、陈琦、杨勣、黄伟、曹玲</w:t>
            </w:r>
          </w:p>
        </w:tc>
        <w:tc>
          <w:tcPr>
            <w:tcW w:w="725" w:type="pct"/>
            <w:tcBorders>
              <w:top w:val="nil"/>
              <w:left w:val="nil"/>
              <w:bottom w:val="single" w:sz="4" w:space="0" w:color="auto"/>
              <w:right w:val="single" w:sz="4" w:space="0" w:color="auto"/>
            </w:tcBorders>
            <w:shd w:val="clear" w:color="auto" w:fill="auto"/>
            <w:noWrap/>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2021.01.08</w:t>
            </w:r>
          </w:p>
        </w:tc>
      </w:tr>
      <w:tr w:rsidR="00A910F8">
        <w:trPr>
          <w:trHeight w:val="799"/>
          <w:jc w:val="center"/>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10</w:t>
            </w:r>
          </w:p>
        </w:tc>
        <w:tc>
          <w:tcPr>
            <w:tcW w:w="2312"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首届上海市高校教师教学创新大赛地方高校正高组二等奖、优秀基层教学组织奖</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省部级</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赵晓霞</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2021.03.28</w:t>
            </w:r>
          </w:p>
        </w:tc>
      </w:tr>
      <w:tr w:rsidR="00A910F8">
        <w:trPr>
          <w:trHeight w:val="799"/>
          <w:jc w:val="center"/>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11</w:t>
            </w:r>
          </w:p>
        </w:tc>
        <w:tc>
          <w:tcPr>
            <w:tcW w:w="2312"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2021年全国高校商业精英挑战赛国际贸易竞赛优秀辅导教师</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国家级</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杨勣</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2021.05.10</w:t>
            </w:r>
          </w:p>
        </w:tc>
      </w:tr>
      <w:tr w:rsidR="00A910F8">
        <w:trPr>
          <w:trHeight w:val="799"/>
          <w:jc w:val="center"/>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12</w:t>
            </w:r>
          </w:p>
        </w:tc>
        <w:tc>
          <w:tcPr>
            <w:tcW w:w="2312"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2021年校级教学成果特等奖-教学创新与大学生实践互联耦合的“双螺旋模式”的构建实施</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校级</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赵晓霞、余运江、陈琦、周佳雯、赵大平、高磊、曹玲</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2021.05.21</w:t>
            </w:r>
          </w:p>
        </w:tc>
      </w:tr>
      <w:tr w:rsidR="00A910F8">
        <w:trPr>
          <w:trHeight w:val="799"/>
          <w:jc w:val="center"/>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13</w:t>
            </w:r>
          </w:p>
        </w:tc>
        <w:tc>
          <w:tcPr>
            <w:tcW w:w="2312"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2021年校级教学成果一等奖-“知行耦合、德智相融”——国际经贸应用型创新人才培养实践教学体系建设</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校级</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高鸣霞、陈霜华、余运江、陈琦、年大琦、杨勣、舒杏、孔炯炯、曹玲</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2021.05.21</w:t>
            </w:r>
          </w:p>
        </w:tc>
      </w:tr>
      <w:tr w:rsidR="00A910F8">
        <w:trPr>
          <w:trHeight w:val="799"/>
          <w:jc w:val="center"/>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t>14</w:t>
            </w:r>
          </w:p>
        </w:tc>
        <w:tc>
          <w:tcPr>
            <w:tcW w:w="2312"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2021年校级教学成果二等奖-混合式教学背景下线上线下融合模式在国贸专业课程群中的构建与推广</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校级</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张燕、赵大平、王春蕾、孙晓霓、顾旻燕</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2021.05.21</w:t>
            </w:r>
          </w:p>
        </w:tc>
      </w:tr>
      <w:tr w:rsidR="00A910F8">
        <w:trPr>
          <w:trHeight w:val="799"/>
          <w:jc w:val="center"/>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spacing w:line="520" w:lineRule="exact"/>
              <w:ind w:leftChars="-50" w:left="-158" w:rightChars="-50" w:right="-158"/>
              <w:jc w:val="center"/>
              <w:rPr>
                <w:rFonts w:ascii="楷体" w:eastAsia="楷体" w:hAnsi="楷体" w:cs="楷体"/>
                <w:color w:val="000000"/>
                <w:sz w:val="24"/>
                <w:szCs w:val="24"/>
              </w:rPr>
            </w:pPr>
            <w:r>
              <w:rPr>
                <w:rFonts w:ascii="楷体" w:eastAsia="楷体" w:hAnsi="楷体" w:cs="楷体" w:hint="eastAsia"/>
                <w:color w:val="000000"/>
                <w:sz w:val="24"/>
                <w:szCs w:val="24"/>
              </w:rPr>
              <w:lastRenderedPageBreak/>
              <w:t>15</w:t>
            </w:r>
          </w:p>
        </w:tc>
        <w:tc>
          <w:tcPr>
            <w:tcW w:w="2312"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“国际经济与贸易一流专业（A类）全英语专业建设”在“高地大”2019年度绩效考核中荣获“优秀项目”</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spacing w:line="520" w:lineRule="exact"/>
              <w:ind w:rightChars="-50" w:right="-158"/>
              <w:jc w:val="left"/>
              <w:rPr>
                <w:rFonts w:ascii="楷体" w:eastAsia="楷体" w:hAnsi="楷体" w:cs="楷体"/>
                <w:color w:val="000000"/>
                <w:sz w:val="24"/>
                <w:szCs w:val="24"/>
              </w:rPr>
            </w:pPr>
            <w:r>
              <w:rPr>
                <w:rFonts w:ascii="楷体" w:eastAsia="楷体" w:hAnsi="楷体" w:cs="楷体" w:hint="eastAsia"/>
                <w:color w:val="000000"/>
                <w:sz w:val="24"/>
                <w:szCs w:val="24"/>
              </w:rPr>
              <w:t>校级</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国际经济与贸易专业</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lang w:bidi="ar"/>
              </w:rPr>
              <w:t>2020.06.16</w:t>
            </w:r>
          </w:p>
        </w:tc>
      </w:tr>
    </w:tbl>
    <w:p w:rsidR="00A910F8" w:rsidRDefault="00E07596" w:rsidP="00D02887">
      <w:pPr>
        <w:widowControl/>
        <w:spacing w:line="500" w:lineRule="exact"/>
        <w:ind w:firstLineChars="200" w:firstLine="474"/>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3.教学名师培育、青年教师培养、教师进修与培训、教师教学水平提升等</w:t>
      </w:r>
    </w:p>
    <w:p w:rsidR="00A910F8" w:rsidRDefault="00E07596">
      <w:pPr>
        <w:pStyle w:val="a6"/>
        <w:shd w:val="clear" w:color="auto" w:fill="FFFFFF"/>
        <w:spacing w:before="0" w:beforeAutospacing="0" w:after="0" w:afterAutospacing="0" w:line="500" w:lineRule="exact"/>
        <w:ind w:firstLineChars="200" w:firstLine="472"/>
        <w:contextualSpacing/>
        <w:jc w:val="both"/>
        <w:rPr>
          <w:rFonts w:ascii="楷体" w:eastAsia="楷体" w:hAnsi="楷体" w:cs="楷体"/>
          <w:color w:val="000000" w:themeColor="text1"/>
        </w:rPr>
      </w:pPr>
      <w:r>
        <w:rPr>
          <w:rFonts w:ascii="楷体" w:eastAsia="楷体" w:hAnsi="楷体" w:cs="楷体" w:hint="eastAsia"/>
          <w:color w:val="000000" w:themeColor="text1"/>
        </w:rPr>
        <w:t>根据应用型人才培养目标定位，国际经济与贸易专业注重师资队伍建设，从多方面开展师资培养。一是从企业引进具有丰富实践经验的人员，优化师资队伍结构。二是实行新进教师的岗前培训制度和青年教师带教制度。为每位新入职青年教师配备导师，通过青年教师导师制提升新入职老师的教育教学能力。通过传帮带、互相听课评课，鼓励青年教师多投入精力思考教育教学技能，提升教育教学能力。青年教师通过听课、评课、记录心得等方式，迅速提高了教育教学水平。</w:t>
      </w:r>
    </w:p>
    <w:p w:rsidR="00A910F8" w:rsidRDefault="00E07596">
      <w:pPr>
        <w:pStyle w:val="a6"/>
        <w:shd w:val="clear" w:color="auto" w:fill="FFFFFF"/>
        <w:spacing w:before="0" w:beforeAutospacing="0" w:after="0" w:afterAutospacing="0" w:line="500" w:lineRule="exact"/>
        <w:ind w:firstLineChars="200" w:firstLine="472"/>
        <w:contextualSpacing/>
        <w:jc w:val="both"/>
        <w:rPr>
          <w:rFonts w:ascii="楷体" w:eastAsia="楷体" w:hAnsi="楷体" w:cs="楷体"/>
          <w:color w:val="000000" w:themeColor="text1"/>
        </w:rPr>
      </w:pPr>
      <w:r>
        <w:rPr>
          <w:rFonts w:ascii="楷体" w:eastAsia="楷体" w:hAnsi="楷体" w:cs="楷体" w:hint="eastAsia"/>
          <w:color w:val="000000" w:themeColor="text1"/>
        </w:rPr>
        <w:t>学院高度重视教师的实践能力、科研能力和国际化视野的培养，积极鼓励并创造条件使专任教师参加各类培训。2020-2021学年来，参加各类培训达19人次，派遣2名教师去企业或政府部门践习。</w:t>
      </w:r>
    </w:p>
    <w:p w:rsidR="00A910F8" w:rsidRDefault="00E07596">
      <w:pPr>
        <w:pStyle w:val="2"/>
        <w:spacing w:before="20" w:after="20" w:line="240" w:lineRule="auto"/>
        <w:rPr>
          <w:rFonts w:ascii="楷体" w:eastAsia="楷体" w:hAnsi="楷体" w:cs="楷体"/>
          <w:sz w:val="24"/>
          <w:szCs w:val="24"/>
        </w:rPr>
      </w:pPr>
      <w:bookmarkStart w:id="6" w:name="_Toc30828"/>
      <w:r>
        <w:rPr>
          <w:rFonts w:ascii="楷体" w:eastAsia="楷体" w:hAnsi="楷体" w:cs="楷体" w:hint="eastAsia"/>
          <w:sz w:val="24"/>
          <w:szCs w:val="24"/>
        </w:rPr>
        <w:t>（二）教学条件与投入</w:t>
      </w:r>
      <w:bookmarkEnd w:id="6"/>
    </w:p>
    <w:p w:rsidR="00A910F8" w:rsidRDefault="00E07596" w:rsidP="00D02887">
      <w:pPr>
        <w:widowControl/>
        <w:spacing w:line="500" w:lineRule="exact"/>
        <w:ind w:firstLineChars="200" w:firstLine="474"/>
        <w:jc w:val="left"/>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1.专业经费投入与使用情况（含日常教学经费、专项经费、毕业论文经费、实验经费等）</w:t>
      </w:r>
    </w:p>
    <w:p w:rsidR="00D02887" w:rsidRDefault="00D02887" w:rsidP="00D02887">
      <w:pPr>
        <w:widowControl/>
        <w:spacing w:line="500" w:lineRule="exact"/>
        <w:ind w:firstLineChars="200" w:firstLine="474"/>
        <w:jc w:val="left"/>
        <w:rPr>
          <w:rFonts w:ascii="楷体" w:eastAsia="楷体" w:hAnsi="楷体" w:cs="楷体"/>
          <w:b/>
          <w:bCs/>
          <w:color w:val="000000"/>
          <w:kern w:val="0"/>
          <w:sz w:val="24"/>
          <w:szCs w:val="24"/>
        </w:rPr>
      </w:pPr>
    </w:p>
    <w:p w:rsidR="00A910F8" w:rsidRDefault="00E07596">
      <w:pPr>
        <w:widowControl/>
        <w:adjustRightInd w:val="0"/>
        <w:snapToGrid w:val="0"/>
        <w:spacing w:line="360" w:lineRule="auto"/>
        <w:ind w:rightChars="50" w:right="158"/>
        <w:jc w:val="center"/>
        <w:rPr>
          <w:rFonts w:ascii="楷体" w:eastAsia="楷体" w:hAnsi="楷体" w:cs="楷体"/>
          <w:b/>
          <w:kern w:val="0"/>
          <w:sz w:val="24"/>
          <w:szCs w:val="24"/>
        </w:rPr>
      </w:pPr>
      <w:r>
        <w:rPr>
          <w:rFonts w:ascii="楷体" w:eastAsia="楷体" w:hAnsi="楷体" w:cs="楷体" w:hint="eastAsia"/>
          <w:b/>
          <w:sz w:val="24"/>
          <w:szCs w:val="24"/>
        </w:rPr>
        <w:t>表2-7近3年教学经费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1542"/>
        <w:gridCol w:w="2265"/>
        <w:gridCol w:w="2244"/>
        <w:gridCol w:w="2292"/>
      </w:tblGrid>
      <w:tr w:rsidR="00A910F8">
        <w:trPr>
          <w:trHeight w:val="680"/>
        </w:trPr>
        <w:tc>
          <w:tcPr>
            <w:tcW w:w="5000" w:type="pct"/>
            <w:gridSpan w:val="5"/>
            <w:shd w:val="clear" w:color="auto" w:fill="auto"/>
            <w:vAlign w:val="center"/>
          </w:tcPr>
          <w:p w:rsidR="00A910F8" w:rsidRDefault="00E07596">
            <w:pPr>
              <w:pStyle w:val="a9"/>
              <w:jc w:val="center"/>
              <w:rPr>
                <w:rFonts w:ascii="楷体" w:eastAsia="楷体" w:hAnsi="楷体" w:cs="楷体"/>
                <w:b/>
                <w:bCs/>
                <w:sz w:val="24"/>
              </w:rPr>
            </w:pPr>
            <w:r>
              <w:rPr>
                <w:rFonts w:ascii="楷体" w:eastAsia="楷体" w:hAnsi="楷体" w:cs="楷体" w:hint="eastAsia"/>
                <w:b/>
                <w:bCs/>
                <w:sz w:val="24"/>
              </w:rPr>
              <w:t>近3年本专业本科生每年生均四项经费(单位:元/生·年)情况  (四项经费包括本科业务费、教学差旅费、体育维持费、教学仪器设备维修费；生均四项经费＝四项经费/折合学生数)</w:t>
            </w:r>
          </w:p>
        </w:tc>
      </w:tr>
      <w:tr w:rsidR="00A910F8">
        <w:trPr>
          <w:trHeight w:val="680"/>
        </w:trPr>
        <w:tc>
          <w:tcPr>
            <w:tcW w:w="1247" w:type="pct"/>
            <w:gridSpan w:val="2"/>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2019年</w:t>
            </w:r>
          </w:p>
        </w:tc>
        <w:tc>
          <w:tcPr>
            <w:tcW w:w="1249" w:type="pct"/>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2020年</w:t>
            </w:r>
          </w:p>
        </w:tc>
        <w:tc>
          <w:tcPr>
            <w:tcW w:w="2502" w:type="pct"/>
            <w:gridSpan w:val="2"/>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2021年</w:t>
            </w:r>
          </w:p>
        </w:tc>
      </w:tr>
      <w:tr w:rsidR="00A910F8">
        <w:trPr>
          <w:trHeight w:val="680"/>
        </w:trPr>
        <w:tc>
          <w:tcPr>
            <w:tcW w:w="1247" w:type="pct"/>
            <w:gridSpan w:val="2"/>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1050</w:t>
            </w:r>
            <w:r>
              <w:rPr>
                <w:rFonts w:ascii="楷体" w:eastAsia="楷体" w:hAnsi="楷体" w:cs="楷体" w:hint="eastAsia"/>
                <w:b/>
                <w:bCs/>
                <w:sz w:val="24"/>
              </w:rPr>
              <w:t>元/生</w:t>
            </w:r>
          </w:p>
        </w:tc>
        <w:tc>
          <w:tcPr>
            <w:tcW w:w="1249" w:type="pct"/>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680</w:t>
            </w:r>
            <w:r>
              <w:rPr>
                <w:rFonts w:ascii="楷体" w:eastAsia="楷体" w:hAnsi="楷体" w:cs="楷体" w:hint="eastAsia"/>
                <w:b/>
                <w:bCs/>
                <w:sz w:val="24"/>
              </w:rPr>
              <w:t>元/生</w:t>
            </w:r>
          </w:p>
        </w:tc>
        <w:tc>
          <w:tcPr>
            <w:tcW w:w="2502" w:type="pct"/>
            <w:gridSpan w:val="2"/>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570</w:t>
            </w:r>
            <w:r>
              <w:rPr>
                <w:rFonts w:ascii="楷体" w:eastAsia="楷体" w:hAnsi="楷体" w:cs="楷体" w:hint="eastAsia"/>
                <w:b/>
                <w:bCs/>
                <w:sz w:val="24"/>
              </w:rPr>
              <w:t>元/生</w:t>
            </w:r>
          </w:p>
        </w:tc>
      </w:tr>
      <w:tr w:rsidR="00A910F8">
        <w:trPr>
          <w:trHeight w:val="680"/>
        </w:trPr>
        <w:tc>
          <w:tcPr>
            <w:tcW w:w="2497" w:type="pct"/>
            <w:gridSpan w:val="3"/>
            <w:shd w:val="clear" w:color="auto" w:fill="auto"/>
            <w:vAlign w:val="center"/>
          </w:tcPr>
          <w:p w:rsidR="00A910F8" w:rsidRDefault="00E07596">
            <w:pPr>
              <w:pStyle w:val="a9"/>
              <w:jc w:val="center"/>
              <w:rPr>
                <w:rFonts w:ascii="楷体" w:eastAsia="楷体" w:hAnsi="楷体" w:cs="楷体"/>
                <w:b/>
                <w:bCs/>
                <w:sz w:val="24"/>
              </w:rPr>
            </w:pPr>
            <w:r>
              <w:rPr>
                <w:rFonts w:ascii="楷体" w:eastAsia="楷体" w:hAnsi="楷体" w:cs="楷体" w:hint="eastAsia"/>
                <w:b/>
                <w:bCs/>
                <w:sz w:val="24"/>
              </w:rPr>
              <w:t>近3年学校累计向本专业投入专业建设经费</w:t>
            </w:r>
          </w:p>
        </w:tc>
        <w:tc>
          <w:tcPr>
            <w:tcW w:w="2502" w:type="pct"/>
            <w:gridSpan w:val="2"/>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924.3万元</w:t>
            </w:r>
          </w:p>
        </w:tc>
      </w:tr>
      <w:tr w:rsidR="00A910F8">
        <w:trPr>
          <w:trHeight w:val="680"/>
        </w:trPr>
        <w:tc>
          <w:tcPr>
            <w:tcW w:w="396" w:type="pct"/>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lastRenderedPageBreak/>
              <w:t>序号</w:t>
            </w:r>
          </w:p>
        </w:tc>
        <w:tc>
          <w:tcPr>
            <w:tcW w:w="3339" w:type="pct"/>
            <w:gridSpan w:val="3"/>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主     要     用     途</w:t>
            </w:r>
          </w:p>
        </w:tc>
        <w:tc>
          <w:tcPr>
            <w:tcW w:w="1263" w:type="pct"/>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2021年生均金额(元)</w:t>
            </w:r>
          </w:p>
        </w:tc>
      </w:tr>
      <w:tr w:rsidR="00A910F8">
        <w:trPr>
          <w:trHeight w:val="680"/>
        </w:trPr>
        <w:tc>
          <w:tcPr>
            <w:tcW w:w="396" w:type="pct"/>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1</w:t>
            </w:r>
          </w:p>
        </w:tc>
        <w:tc>
          <w:tcPr>
            <w:tcW w:w="3339" w:type="pct"/>
            <w:gridSpan w:val="3"/>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教学日常运行经费</w:t>
            </w:r>
          </w:p>
        </w:tc>
        <w:tc>
          <w:tcPr>
            <w:tcW w:w="1263" w:type="pct"/>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570</w:t>
            </w:r>
          </w:p>
        </w:tc>
      </w:tr>
      <w:tr w:rsidR="00A910F8">
        <w:trPr>
          <w:trHeight w:val="680"/>
        </w:trPr>
        <w:tc>
          <w:tcPr>
            <w:tcW w:w="396" w:type="pct"/>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w:t>
            </w:r>
          </w:p>
        </w:tc>
        <w:tc>
          <w:tcPr>
            <w:tcW w:w="3339" w:type="pct"/>
            <w:gridSpan w:val="3"/>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实践教学经费</w:t>
            </w:r>
          </w:p>
        </w:tc>
        <w:tc>
          <w:tcPr>
            <w:tcW w:w="1263" w:type="pct"/>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200</w:t>
            </w:r>
          </w:p>
        </w:tc>
      </w:tr>
      <w:tr w:rsidR="00A910F8">
        <w:trPr>
          <w:trHeight w:val="680"/>
        </w:trPr>
        <w:tc>
          <w:tcPr>
            <w:tcW w:w="396" w:type="pct"/>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3</w:t>
            </w:r>
          </w:p>
        </w:tc>
        <w:tc>
          <w:tcPr>
            <w:tcW w:w="3339" w:type="pct"/>
            <w:gridSpan w:val="3"/>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毕业论文专项经费</w:t>
            </w:r>
          </w:p>
        </w:tc>
        <w:tc>
          <w:tcPr>
            <w:tcW w:w="1263" w:type="pct"/>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700</w:t>
            </w:r>
          </w:p>
        </w:tc>
      </w:tr>
    </w:tbl>
    <w:p w:rsidR="00A910F8" w:rsidRDefault="00A910F8">
      <w:pPr>
        <w:widowControl/>
        <w:spacing w:line="500" w:lineRule="exact"/>
        <w:ind w:firstLineChars="200" w:firstLine="472"/>
        <w:jc w:val="left"/>
        <w:rPr>
          <w:rFonts w:ascii="楷体" w:eastAsia="楷体" w:hAnsi="楷体" w:cs="楷体"/>
          <w:color w:val="000000"/>
          <w:kern w:val="0"/>
          <w:sz w:val="24"/>
          <w:szCs w:val="24"/>
        </w:rPr>
      </w:pPr>
    </w:p>
    <w:p w:rsidR="00A910F8" w:rsidRDefault="00E07596" w:rsidP="00D02887">
      <w:pPr>
        <w:widowControl/>
        <w:spacing w:line="500" w:lineRule="exact"/>
        <w:ind w:firstLineChars="200" w:firstLine="474"/>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2.专业图书资料（电子图书、纸质图书）数量及利用情况</w:t>
      </w:r>
    </w:p>
    <w:p w:rsidR="00A910F8" w:rsidRDefault="00E07596">
      <w:pPr>
        <w:widowControl/>
        <w:spacing w:line="500" w:lineRule="exact"/>
        <w:ind w:firstLineChars="200" w:firstLine="472"/>
        <w:rPr>
          <w:rFonts w:ascii="楷体" w:eastAsia="楷体" w:hAnsi="楷体" w:cs="楷体"/>
          <w:color w:val="000000" w:themeColor="text1"/>
          <w:kern w:val="0"/>
          <w:sz w:val="24"/>
          <w:szCs w:val="24"/>
        </w:rPr>
      </w:pPr>
      <w:r>
        <w:rPr>
          <w:rFonts w:ascii="楷体" w:eastAsia="楷体" w:hAnsi="楷体" w:cs="楷体" w:hint="eastAsia"/>
          <w:color w:val="000000" w:themeColor="text1"/>
          <w:sz w:val="24"/>
          <w:szCs w:val="24"/>
        </w:rPr>
        <w:t>2019-2021年度新购进专业书籍《</w:t>
      </w:r>
      <w:r>
        <w:rPr>
          <w:rFonts w:ascii="楷体" w:eastAsia="楷体" w:hAnsi="楷体" w:cs="楷体" w:hint="eastAsia"/>
          <w:color w:val="000000" w:themeColor="text1"/>
          <w:kern w:val="0"/>
          <w:sz w:val="24"/>
          <w:szCs w:val="24"/>
        </w:rPr>
        <w:t>商品区块链：开启加密经济新时代》</w:t>
      </w:r>
      <w:r>
        <w:rPr>
          <w:rFonts w:ascii="楷体" w:eastAsia="楷体" w:hAnsi="楷体" w:cs="楷体" w:hint="eastAsia"/>
          <w:color w:val="000000" w:themeColor="text1"/>
          <w:sz w:val="24"/>
          <w:szCs w:val="24"/>
        </w:rPr>
        <w:t>《数字经济：中国经济创新增长新蓝图》</w:t>
      </w:r>
      <w:r>
        <w:rPr>
          <w:rFonts w:ascii="楷体" w:eastAsia="楷体" w:hAnsi="楷体" w:cs="楷体" w:hint="eastAsia"/>
          <w:color w:val="000000" w:themeColor="text1"/>
          <w:kern w:val="0"/>
          <w:sz w:val="24"/>
          <w:szCs w:val="24"/>
        </w:rPr>
        <w:t>《数字经济2.0：引爆大数据生态红利》《数字经济：影响未来的新技术、新模式 、新产业》《赋能数字经济:大数据创新创业启示录》《区块链+开启智能新时代》《中美贸易利益分配评估研究》等多本呈现信息技术发展趋势和外贸业务新业态的书籍，并订阅了《经济研究》《管理世界》《中国工业经济》等多本高层次学术水平的期刊，老师们也积极借阅，并在教学研讨会上分享读后心得体会，获得了较好的效果。</w:t>
      </w:r>
    </w:p>
    <w:p w:rsidR="00A910F8" w:rsidRDefault="00E07596">
      <w:pPr>
        <w:pStyle w:val="2"/>
        <w:spacing w:before="20" w:after="20" w:line="240" w:lineRule="auto"/>
        <w:rPr>
          <w:rFonts w:ascii="楷体" w:eastAsia="楷体" w:hAnsi="楷体" w:cs="楷体"/>
          <w:sz w:val="24"/>
          <w:szCs w:val="24"/>
        </w:rPr>
      </w:pPr>
      <w:bookmarkStart w:id="7" w:name="_Toc20195"/>
      <w:r>
        <w:rPr>
          <w:rFonts w:ascii="楷体" w:eastAsia="楷体" w:hAnsi="楷体" w:cs="楷体" w:hint="eastAsia"/>
          <w:sz w:val="24"/>
          <w:szCs w:val="24"/>
        </w:rPr>
        <w:t>（三）教学激励计划</w:t>
      </w:r>
      <w:bookmarkEnd w:id="7"/>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 2020-2021年度国际经济与贸易专业的教学激励计划制定和完成度较高，激励计划主要由专业导师、坐班答疑和自习辅导组成。</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专业导师主要对学生进行学业、专业、就业的三业教育以及学生科创的引导。在学业指导方面，专业导师29人参与导师计划，并形成了5个基础教学团队，同时覆盖国际经济与贸易专业大一到大四的所有学生，覆盖率达到了100%。</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在专业引导方面，学院、专业导师在学生入学初即进行专业介绍，使学生从入学开始就对学院的专业设置、发展现状及发展目标有了大致了解；在专业分流过程中，专业导师对专业差异进行细致讲解，认真回答学生提出的问题，对学生进行针对性专业引导，并于2021年4月顺利完成2018级学生专业分流。</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lastRenderedPageBreak/>
        <w:t>在就业指导方面，专业导师能够悉心指导学生的毕业实习，同时关注学生的实习就业情况，并给予相应的指导，适时地提供多家企业招聘就业信息，帮助学生就业。另外，本专业对毕业生培养质量进行跟踪调研，从而获得了相应的人才市场反馈，能够更好地指导就业教育的工作。</w:t>
      </w:r>
    </w:p>
    <w:p w:rsidR="00A910F8" w:rsidRDefault="00E07596">
      <w:pPr>
        <w:widowControl/>
        <w:spacing w:line="500" w:lineRule="exact"/>
        <w:ind w:firstLineChars="200" w:firstLine="472"/>
        <w:rPr>
          <w:rFonts w:ascii="楷体" w:eastAsia="楷体" w:hAnsi="楷体" w:cs="楷体"/>
          <w:color w:val="333333"/>
          <w:sz w:val="24"/>
          <w:szCs w:val="24"/>
        </w:rPr>
      </w:pPr>
      <w:r>
        <w:rPr>
          <w:rFonts w:ascii="楷体" w:eastAsia="楷体" w:hAnsi="楷体" w:cs="楷体" w:hint="eastAsia"/>
          <w:color w:val="333333"/>
          <w:sz w:val="24"/>
          <w:szCs w:val="24"/>
        </w:rPr>
        <w:t>在指导学生科创方面，专业导师积极认真地指导学生进行院级、校级及更高级别创新实践项目的申报，指导学生参与了学院的“经济人案例分析大赛”、“外贸综合技能大赛”、“科创精英训练营”以及全国性的外贸和商务大赛。学生创新实践成绩硕果累累，共获得第六届中国“互联网＋”大学生创新创业大赛上海赛区铜奖、2020年和2021年全国商业精英挑战赛国际贸易专业竞赛一等奖两项和三等奖一项、POCIB全国外贸从业能力大赛2020-2021(秋季赛）团体二等奖两项、</w:t>
      </w:r>
      <w:r>
        <w:rPr>
          <w:rFonts w:ascii="楷体" w:eastAsia="楷体" w:hAnsi="楷体" w:cs="楷体" w:hint="eastAsia"/>
          <w:color w:val="333333"/>
          <w:kern w:val="0"/>
          <w:sz w:val="24"/>
          <w:szCs w:val="24"/>
        </w:rPr>
        <w:t>2020年全国高校商业精英挑战赛商务谈判竞赛全国总决赛</w:t>
      </w:r>
      <w:r>
        <w:rPr>
          <w:rFonts w:ascii="楷体" w:eastAsia="楷体" w:hAnsi="楷体" w:cs="楷体" w:hint="eastAsia"/>
          <w:color w:val="333333"/>
          <w:sz w:val="24"/>
          <w:szCs w:val="24"/>
        </w:rPr>
        <w:t>一等奖三项二等奖两项三等奖一项、第十七届“挑战杯”上海市大学生课外学术科技作品竞赛三等奖两项等14项奖项。</w:t>
      </w:r>
    </w:p>
    <w:p w:rsidR="00A910F8" w:rsidRDefault="00E07596">
      <w:pPr>
        <w:widowControl/>
        <w:spacing w:line="500" w:lineRule="exact"/>
        <w:ind w:firstLineChars="200" w:firstLine="472"/>
        <w:rPr>
          <w:rFonts w:ascii="楷体" w:eastAsia="楷体" w:hAnsi="楷体" w:cs="楷体"/>
          <w:color w:val="333333"/>
          <w:sz w:val="24"/>
          <w:szCs w:val="24"/>
        </w:rPr>
      </w:pPr>
      <w:r>
        <w:rPr>
          <w:rFonts w:ascii="楷体" w:eastAsia="楷体" w:hAnsi="楷体" w:cs="楷体" w:hint="eastAsia"/>
          <w:color w:val="333333"/>
          <w:sz w:val="24"/>
          <w:szCs w:val="24"/>
        </w:rPr>
        <w:t>在坐班答疑和自习辅导方面，国际经济与贸易专业的老师积极响应教学激励计划，按照要求合理安排时间作出计划，并严格认真地贯彻执行，参与率达到100%，大部分教师都在保证教学质量的基础上超额完成了教学任务。</w:t>
      </w:r>
    </w:p>
    <w:p w:rsidR="00A910F8" w:rsidRDefault="00E07596">
      <w:pPr>
        <w:pStyle w:val="1"/>
        <w:spacing w:before="20" w:after="20" w:line="360" w:lineRule="auto"/>
        <w:rPr>
          <w:rFonts w:ascii="楷体" w:eastAsia="楷体" w:hAnsi="楷体" w:cs="楷体"/>
          <w:sz w:val="28"/>
          <w:szCs w:val="28"/>
        </w:rPr>
      </w:pPr>
      <w:bookmarkStart w:id="8" w:name="_Toc1902"/>
      <w:r>
        <w:rPr>
          <w:rFonts w:ascii="楷体" w:eastAsia="楷体" w:hAnsi="楷体" w:cs="楷体" w:hint="eastAsia"/>
          <w:sz w:val="28"/>
          <w:szCs w:val="28"/>
        </w:rPr>
        <w:t>三、专业教学建设与改革</w:t>
      </w:r>
      <w:bookmarkEnd w:id="8"/>
    </w:p>
    <w:p w:rsidR="00A910F8" w:rsidRDefault="00E07596">
      <w:pPr>
        <w:pStyle w:val="2"/>
        <w:spacing w:before="20" w:after="20" w:line="240" w:lineRule="auto"/>
        <w:rPr>
          <w:rFonts w:ascii="楷体" w:eastAsia="楷体" w:hAnsi="楷体" w:cs="楷体"/>
          <w:sz w:val="24"/>
          <w:szCs w:val="24"/>
        </w:rPr>
      </w:pPr>
      <w:bookmarkStart w:id="9" w:name="_Toc7726"/>
      <w:r>
        <w:rPr>
          <w:rFonts w:ascii="楷体" w:eastAsia="楷体" w:hAnsi="楷体" w:cs="楷体" w:hint="eastAsia"/>
          <w:sz w:val="24"/>
          <w:szCs w:val="24"/>
        </w:rPr>
        <w:t>（一）课程与教材建设</w:t>
      </w:r>
      <w:bookmarkEnd w:id="9"/>
    </w:p>
    <w:p w:rsidR="00A910F8" w:rsidRDefault="00E07596" w:rsidP="00D02887">
      <w:pPr>
        <w:widowControl/>
        <w:spacing w:line="500" w:lineRule="exact"/>
        <w:ind w:firstLineChars="200" w:firstLine="474"/>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1.专业课程概况</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sz w:val="24"/>
          <w:szCs w:val="24"/>
        </w:rPr>
        <w:t>本专业课程体系分为通识课模块、专业必修课模块、专业选修课模块和创新实践模块。专业必修课模块直接对接国家课程标准，设置了《微观经济学》《宏观经济学》《国际经济学》《计量经济学》《政治经济学》《国际贸易实务》《国际商务谈判》《跨国公司经营与管理》等课程。</w:t>
      </w:r>
      <w:r>
        <w:rPr>
          <w:rFonts w:ascii="楷体" w:eastAsia="楷体" w:hAnsi="楷体" w:cs="楷体" w:hint="eastAsia"/>
          <w:color w:val="000000"/>
          <w:kern w:val="0"/>
          <w:sz w:val="24"/>
          <w:szCs w:val="24"/>
        </w:rPr>
        <w:t>专业选修课程则直接对接长三角区域和地方经济发展和企业需求，设置贸易实务模块、数字贸易模块、跨国经营模块和学科基础课程模块。这4大模块课程的设置都注重于提升学生的综合实践能力和职业素养的培养。例如，贸易实务模块主要开设了《进出口结算》《国际会展实务与操作》等实务操作课</w:t>
      </w:r>
      <w:r>
        <w:rPr>
          <w:rFonts w:ascii="楷体" w:eastAsia="楷体" w:hAnsi="楷体" w:cs="楷体" w:hint="eastAsia"/>
          <w:color w:val="000000"/>
          <w:kern w:val="0"/>
          <w:sz w:val="24"/>
          <w:szCs w:val="24"/>
        </w:rPr>
        <w:lastRenderedPageBreak/>
        <w:t>程，侧重培养学生外贸实务技能的培养。在数字贸易模块，则开设《数字贸易概论》、《区块链与国际贸易》《数字产品贸易》等课程，侧重培养学生的数据处理和分析以及运用数字技术解决国际贸易实际问题的能力。</w:t>
      </w:r>
    </w:p>
    <w:p w:rsidR="00A910F8" w:rsidRDefault="00E07596">
      <w:pPr>
        <w:widowControl/>
        <w:adjustRightInd w:val="0"/>
        <w:snapToGrid w:val="0"/>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在创新实践模块中，根据课程内容具体设置了创新实践必修课程和创新实践选修课程，前者主要是依托于专业必修课程设置的实践和实验，例如《国际贸易情境综合实训》《企业运营实训》《创新创业实践》等，后者则依托于学院9支科研创新团队以科教融合、科创融合为支撑，开设特色学科和行业前沿及创新实践课程。</w:t>
      </w:r>
    </w:p>
    <w:p w:rsidR="00A910F8" w:rsidRDefault="00E07596">
      <w:pPr>
        <w:pStyle w:val="a6"/>
        <w:shd w:val="clear" w:color="auto" w:fill="FFFFFF"/>
        <w:spacing w:before="0" w:beforeAutospacing="0" w:after="0" w:afterAutospacing="0" w:line="500" w:lineRule="exact"/>
        <w:ind w:firstLineChars="200" w:firstLine="472"/>
        <w:jc w:val="both"/>
        <w:rPr>
          <w:rFonts w:ascii="楷体" w:eastAsia="楷体" w:hAnsi="楷体" w:cs="楷体"/>
          <w:color w:val="333333"/>
        </w:rPr>
      </w:pPr>
      <w:r>
        <w:rPr>
          <w:rFonts w:ascii="楷体" w:eastAsia="楷体" w:hAnsi="楷体" w:cs="楷体" w:hint="eastAsia"/>
          <w:color w:val="333333"/>
        </w:rPr>
        <w:t>如下表3-1所示，2020年-2021学年国际经济与贸易专业的专任教师立项学校各类课程建设共计9门。其中1门立项</w:t>
      </w:r>
      <w:r>
        <w:rPr>
          <w:rFonts w:ascii="楷体" w:eastAsia="楷体" w:hAnsi="楷体" w:cs="楷体" w:hint="eastAsia"/>
          <w:color w:val="000000"/>
        </w:rPr>
        <w:t>国家一流本科课程，2项立项市级一流本科课程，3</w:t>
      </w:r>
      <w:r>
        <w:rPr>
          <w:rFonts w:ascii="楷体" w:eastAsia="楷体" w:hAnsi="楷体" w:cs="楷体" w:hint="eastAsia"/>
          <w:color w:val="333333"/>
        </w:rPr>
        <w:t>门立项上海市重点课程，2门立项校级优质在线金课、1门立项校级混合教学金课。目前，《国际贸易学》课程入选教育部推荐在线教学资源名单课程，《国际贸易学》和《国际货物运输与保险》课程在中国大学MOOC平台上线。</w:t>
      </w:r>
    </w:p>
    <w:p w:rsidR="00A910F8" w:rsidRDefault="00E07596" w:rsidP="00D02887">
      <w:pPr>
        <w:widowControl/>
        <w:spacing w:line="500" w:lineRule="exact"/>
        <w:ind w:firstLineChars="200" w:firstLine="474"/>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表3-1 2020-2021学年国际经济与贸易专业各类课程建设情况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733"/>
        <w:gridCol w:w="1600"/>
        <w:gridCol w:w="1162"/>
        <w:gridCol w:w="2814"/>
      </w:tblGrid>
      <w:tr w:rsidR="00A910F8">
        <w:trPr>
          <w:trHeight w:val="23"/>
        </w:trPr>
        <w:tc>
          <w:tcPr>
            <w:tcW w:w="415" w:type="pct"/>
            <w:shd w:val="clear" w:color="auto" w:fill="E7E6E6" w:themeFill="background2"/>
            <w:vAlign w:val="center"/>
          </w:tcPr>
          <w:p w:rsidR="00A910F8" w:rsidRDefault="00E07596">
            <w:pPr>
              <w:widowControl/>
              <w:spacing w:line="500" w:lineRule="exact"/>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序号</w:t>
            </w:r>
          </w:p>
        </w:tc>
        <w:tc>
          <w:tcPr>
            <w:tcW w:w="1508" w:type="pct"/>
            <w:shd w:val="clear" w:color="auto" w:fill="E7E6E6" w:themeFill="background2"/>
            <w:vAlign w:val="center"/>
          </w:tcPr>
          <w:p w:rsidR="00A910F8" w:rsidRDefault="00E07596" w:rsidP="00D02887">
            <w:pPr>
              <w:widowControl/>
              <w:spacing w:line="500" w:lineRule="exact"/>
              <w:ind w:firstLineChars="200" w:firstLine="474"/>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课程名称</w:t>
            </w:r>
          </w:p>
        </w:tc>
        <w:tc>
          <w:tcPr>
            <w:tcW w:w="883" w:type="pct"/>
            <w:shd w:val="clear" w:color="auto" w:fill="E7E6E6" w:themeFill="background2"/>
            <w:vAlign w:val="center"/>
          </w:tcPr>
          <w:p w:rsidR="00A910F8" w:rsidRDefault="00E07596">
            <w:pPr>
              <w:widowControl/>
              <w:spacing w:line="500" w:lineRule="exact"/>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责任人</w:t>
            </w:r>
          </w:p>
        </w:tc>
        <w:tc>
          <w:tcPr>
            <w:tcW w:w="641" w:type="pct"/>
            <w:shd w:val="clear" w:color="auto" w:fill="E7E6E6" w:themeFill="background2"/>
            <w:vAlign w:val="center"/>
          </w:tcPr>
          <w:p w:rsidR="00A910F8" w:rsidRDefault="00E07596" w:rsidP="00D02887">
            <w:pPr>
              <w:widowControl/>
              <w:spacing w:line="500" w:lineRule="exact"/>
              <w:ind w:firstLineChars="100" w:firstLine="237"/>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级别</w:t>
            </w:r>
          </w:p>
        </w:tc>
        <w:tc>
          <w:tcPr>
            <w:tcW w:w="1553" w:type="pct"/>
            <w:shd w:val="clear" w:color="auto" w:fill="E7E6E6" w:themeFill="background2"/>
            <w:vAlign w:val="center"/>
          </w:tcPr>
          <w:p w:rsidR="00A910F8" w:rsidRDefault="00E07596" w:rsidP="00D02887">
            <w:pPr>
              <w:widowControl/>
              <w:spacing w:line="500" w:lineRule="exact"/>
              <w:ind w:firstLineChars="200" w:firstLine="474"/>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类别</w:t>
            </w:r>
          </w:p>
        </w:tc>
      </w:tr>
      <w:tr w:rsidR="00A910F8">
        <w:trPr>
          <w:trHeight w:val="579"/>
        </w:trPr>
        <w:tc>
          <w:tcPr>
            <w:tcW w:w="415" w:type="pct"/>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1</w:t>
            </w:r>
          </w:p>
        </w:tc>
        <w:tc>
          <w:tcPr>
            <w:tcW w:w="1508"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国际商务谈判</w:t>
            </w:r>
          </w:p>
        </w:tc>
        <w:tc>
          <w:tcPr>
            <w:tcW w:w="883"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张燕</w:t>
            </w:r>
          </w:p>
        </w:tc>
        <w:tc>
          <w:tcPr>
            <w:tcW w:w="641"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国家级</w:t>
            </w:r>
          </w:p>
        </w:tc>
        <w:tc>
          <w:tcPr>
            <w:tcW w:w="1553"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国家级一流课程</w:t>
            </w:r>
          </w:p>
        </w:tc>
      </w:tr>
      <w:tr w:rsidR="00A910F8">
        <w:trPr>
          <w:trHeight w:val="579"/>
        </w:trPr>
        <w:tc>
          <w:tcPr>
            <w:tcW w:w="415" w:type="pct"/>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w:t>
            </w:r>
          </w:p>
        </w:tc>
        <w:tc>
          <w:tcPr>
            <w:tcW w:w="1508"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国际贸易实务</w:t>
            </w:r>
          </w:p>
        </w:tc>
        <w:tc>
          <w:tcPr>
            <w:tcW w:w="883"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孔炯炯</w:t>
            </w:r>
          </w:p>
        </w:tc>
        <w:tc>
          <w:tcPr>
            <w:tcW w:w="641"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校级</w:t>
            </w:r>
          </w:p>
        </w:tc>
        <w:tc>
          <w:tcPr>
            <w:tcW w:w="1553"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校级混合式教学金课</w:t>
            </w:r>
          </w:p>
        </w:tc>
      </w:tr>
      <w:tr w:rsidR="00A910F8">
        <w:trPr>
          <w:trHeight w:val="579"/>
        </w:trPr>
        <w:tc>
          <w:tcPr>
            <w:tcW w:w="415" w:type="pct"/>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3</w:t>
            </w:r>
          </w:p>
        </w:tc>
        <w:tc>
          <w:tcPr>
            <w:tcW w:w="1508"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国际贸易实务</w:t>
            </w:r>
          </w:p>
        </w:tc>
        <w:tc>
          <w:tcPr>
            <w:tcW w:w="883"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孔炯炯</w:t>
            </w:r>
          </w:p>
        </w:tc>
        <w:tc>
          <w:tcPr>
            <w:tcW w:w="641"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市级</w:t>
            </w:r>
          </w:p>
        </w:tc>
        <w:tc>
          <w:tcPr>
            <w:tcW w:w="1553"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市级重点课程</w:t>
            </w:r>
          </w:p>
        </w:tc>
      </w:tr>
      <w:tr w:rsidR="00A910F8">
        <w:trPr>
          <w:trHeight w:val="579"/>
        </w:trPr>
        <w:tc>
          <w:tcPr>
            <w:tcW w:w="415" w:type="pct"/>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4</w:t>
            </w:r>
          </w:p>
        </w:tc>
        <w:tc>
          <w:tcPr>
            <w:tcW w:w="1508"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国际货物运输与保险</w:t>
            </w:r>
          </w:p>
        </w:tc>
        <w:tc>
          <w:tcPr>
            <w:tcW w:w="883"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胡俊芳</w:t>
            </w:r>
          </w:p>
        </w:tc>
        <w:tc>
          <w:tcPr>
            <w:tcW w:w="641"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校级</w:t>
            </w:r>
          </w:p>
        </w:tc>
        <w:tc>
          <w:tcPr>
            <w:tcW w:w="1553" w:type="pct"/>
            <w:vAlign w:val="center"/>
          </w:tcPr>
          <w:p w:rsidR="00A910F8" w:rsidRDefault="00E07596">
            <w:pPr>
              <w:pStyle w:val="a9"/>
              <w:jc w:val="center"/>
              <w:rPr>
                <w:rFonts w:ascii="楷体" w:eastAsia="楷体" w:hAnsi="楷体" w:cs="楷体"/>
                <w:color w:val="000000" w:themeColor="text1"/>
                <w:sz w:val="24"/>
              </w:rPr>
            </w:pPr>
            <w:r>
              <w:rPr>
                <w:rFonts w:ascii="楷体" w:eastAsia="楷体" w:hAnsi="楷体" w:cs="楷体" w:hint="eastAsia"/>
                <w:color w:val="000000" w:themeColor="text1"/>
                <w:sz w:val="24"/>
              </w:rPr>
              <w:t>校级优质在线金课</w:t>
            </w:r>
          </w:p>
        </w:tc>
      </w:tr>
      <w:tr w:rsidR="00A910F8">
        <w:trPr>
          <w:trHeight w:val="579"/>
        </w:trPr>
        <w:tc>
          <w:tcPr>
            <w:tcW w:w="415" w:type="pct"/>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5</w:t>
            </w:r>
          </w:p>
        </w:tc>
        <w:tc>
          <w:tcPr>
            <w:tcW w:w="2733"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国际投资学</w:t>
            </w:r>
          </w:p>
        </w:tc>
        <w:tc>
          <w:tcPr>
            <w:tcW w:w="1600"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杨勣</w:t>
            </w:r>
          </w:p>
        </w:tc>
        <w:tc>
          <w:tcPr>
            <w:tcW w:w="1162"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上海市</w:t>
            </w:r>
          </w:p>
        </w:tc>
        <w:tc>
          <w:tcPr>
            <w:tcW w:w="2814"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市级重点课程</w:t>
            </w:r>
          </w:p>
        </w:tc>
      </w:tr>
      <w:tr w:rsidR="00A910F8">
        <w:trPr>
          <w:trHeight w:val="579"/>
        </w:trPr>
        <w:tc>
          <w:tcPr>
            <w:tcW w:w="415" w:type="pct"/>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6</w:t>
            </w:r>
          </w:p>
        </w:tc>
        <w:tc>
          <w:tcPr>
            <w:tcW w:w="2733"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国际经济合作</w:t>
            </w:r>
          </w:p>
        </w:tc>
        <w:tc>
          <w:tcPr>
            <w:tcW w:w="1600"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赵晓霞</w:t>
            </w:r>
          </w:p>
        </w:tc>
        <w:tc>
          <w:tcPr>
            <w:tcW w:w="1162"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上海市</w:t>
            </w:r>
          </w:p>
        </w:tc>
        <w:tc>
          <w:tcPr>
            <w:tcW w:w="2814"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市级一流本科课程</w:t>
            </w:r>
          </w:p>
        </w:tc>
      </w:tr>
      <w:tr w:rsidR="00A910F8">
        <w:trPr>
          <w:trHeight w:val="579"/>
        </w:trPr>
        <w:tc>
          <w:tcPr>
            <w:tcW w:w="415" w:type="pct"/>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7</w:t>
            </w:r>
          </w:p>
        </w:tc>
        <w:tc>
          <w:tcPr>
            <w:tcW w:w="2733"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国际经济学</w:t>
            </w:r>
          </w:p>
        </w:tc>
        <w:tc>
          <w:tcPr>
            <w:tcW w:w="1600"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赵大平</w:t>
            </w:r>
          </w:p>
        </w:tc>
        <w:tc>
          <w:tcPr>
            <w:tcW w:w="1162"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上海市</w:t>
            </w:r>
          </w:p>
        </w:tc>
        <w:tc>
          <w:tcPr>
            <w:tcW w:w="2814"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市级一流本科课程</w:t>
            </w:r>
          </w:p>
        </w:tc>
      </w:tr>
      <w:tr w:rsidR="00A910F8">
        <w:trPr>
          <w:trHeight w:val="579"/>
        </w:trPr>
        <w:tc>
          <w:tcPr>
            <w:tcW w:w="415" w:type="pct"/>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8</w:t>
            </w:r>
          </w:p>
        </w:tc>
        <w:tc>
          <w:tcPr>
            <w:tcW w:w="2733"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国际服务贸易</w:t>
            </w:r>
          </w:p>
        </w:tc>
        <w:tc>
          <w:tcPr>
            <w:tcW w:w="1600"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舒杏</w:t>
            </w:r>
          </w:p>
        </w:tc>
        <w:tc>
          <w:tcPr>
            <w:tcW w:w="1162"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校级</w:t>
            </w:r>
          </w:p>
        </w:tc>
        <w:tc>
          <w:tcPr>
            <w:tcW w:w="2814" w:type="dxa"/>
            <w:vAlign w:val="center"/>
          </w:tcPr>
          <w:p w:rsidR="00A910F8" w:rsidRDefault="00E07596">
            <w:pPr>
              <w:widowControl/>
              <w:jc w:val="center"/>
              <w:textAlignment w:val="center"/>
              <w:rPr>
                <w:rFonts w:ascii="楷体" w:eastAsia="楷体" w:hAnsi="楷体" w:cs="楷体"/>
                <w:color w:val="000000" w:themeColor="text1"/>
                <w:sz w:val="24"/>
                <w:szCs w:val="24"/>
              </w:rPr>
            </w:pPr>
            <w:r>
              <w:rPr>
                <w:rStyle w:val="font11"/>
                <w:rFonts w:ascii="楷体" w:eastAsia="楷体" w:hAnsi="楷体" w:cs="楷体" w:hint="default"/>
                <w:color w:val="000000" w:themeColor="text1"/>
                <w:lang w:bidi="ar"/>
              </w:rPr>
              <w:t>校级优质在线金课</w:t>
            </w:r>
          </w:p>
        </w:tc>
      </w:tr>
      <w:tr w:rsidR="00A910F8">
        <w:trPr>
          <w:trHeight w:val="579"/>
        </w:trPr>
        <w:tc>
          <w:tcPr>
            <w:tcW w:w="415" w:type="pct"/>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9</w:t>
            </w:r>
          </w:p>
        </w:tc>
        <w:tc>
          <w:tcPr>
            <w:tcW w:w="2733"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财经中国</w:t>
            </w:r>
          </w:p>
        </w:tc>
        <w:tc>
          <w:tcPr>
            <w:tcW w:w="1600"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毕玉江</w:t>
            </w:r>
          </w:p>
        </w:tc>
        <w:tc>
          <w:tcPr>
            <w:tcW w:w="1162"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上海市</w:t>
            </w:r>
          </w:p>
        </w:tc>
        <w:tc>
          <w:tcPr>
            <w:tcW w:w="2814" w:type="dxa"/>
            <w:vAlign w:val="center"/>
          </w:tcPr>
          <w:p w:rsidR="00A910F8" w:rsidRDefault="00E07596">
            <w:pPr>
              <w:widowControl/>
              <w:jc w:val="center"/>
              <w:textAlignment w:val="center"/>
              <w:rPr>
                <w:rFonts w:ascii="楷体" w:eastAsia="楷体" w:hAnsi="楷体" w:cs="楷体"/>
                <w:color w:val="000000" w:themeColor="text1"/>
                <w:sz w:val="24"/>
                <w:szCs w:val="24"/>
              </w:rPr>
            </w:pPr>
            <w:r>
              <w:rPr>
                <w:rFonts w:ascii="楷体" w:eastAsia="楷体" w:hAnsi="楷体" w:cs="楷体" w:hint="eastAsia"/>
                <w:color w:val="000000" w:themeColor="text1"/>
                <w:kern w:val="0"/>
                <w:sz w:val="24"/>
                <w:szCs w:val="24"/>
                <w:lang w:bidi="ar"/>
              </w:rPr>
              <w:t>市级重点课程</w:t>
            </w:r>
          </w:p>
        </w:tc>
      </w:tr>
    </w:tbl>
    <w:p w:rsidR="00D02887" w:rsidRDefault="00D02887" w:rsidP="00D02887">
      <w:pPr>
        <w:widowControl/>
        <w:spacing w:line="500" w:lineRule="exact"/>
        <w:ind w:firstLineChars="200" w:firstLine="474"/>
        <w:jc w:val="left"/>
        <w:rPr>
          <w:rFonts w:ascii="楷体" w:eastAsia="楷体" w:hAnsi="楷体" w:cs="楷体"/>
          <w:b/>
          <w:bCs/>
          <w:color w:val="000000"/>
          <w:kern w:val="0"/>
          <w:sz w:val="24"/>
          <w:szCs w:val="24"/>
        </w:rPr>
      </w:pPr>
    </w:p>
    <w:p w:rsidR="00A910F8" w:rsidRDefault="00E07596" w:rsidP="00D02887">
      <w:pPr>
        <w:widowControl/>
        <w:spacing w:line="500" w:lineRule="exact"/>
        <w:ind w:firstLineChars="200" w:firstLine="474"/>
        <w:jc w:val="left"/>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lastRenderedPageBreak/>
        <w:t>2.课程教学大纲制定及修订情况</w:t>
      </w:r>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课程教学大纲、课件、教材、授课计划等基本教学文件齐全，课程考试结束后，试卷、答题纸、答案及评分标准、试卷分析表、成绩统计分析表等文档归类装订存档。</w:t>
      </w:r>
    </w:p>
    <w:p w:rsidR="00A910F8" w:rsidRDefault="00E07596" w:rsidP="00D02887">
      <w:pPr>
        <w:widowControl/>
        <w:spacing w:line="500" w:lineRule="exact"/>
        <w:ind w:firstLineChars="200" w:firstLine="474"/>
        <w:jc w:val="left"/>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3.学年度教材建设情况</w:t>
      </w:r>
    </w:p>
    <w:p w:rsidR="00A910F8" w:rsidRDefault="00E07596">
      <w:pPr>
        <w:widowControl/>
        <w:spacing w:line="500" w:lineRule="exact"/>
        <w:ind w:firstLineChars="200" w:firstLine="472"/>
        <w:jc w:val="left"/>
        <w:rPr>
          <w:rFonts w:ascii="楷体" w:eastAsia="楷体" w:hAnsi="楷体" w:cs="楷体"/>
          <w:color w:val="000000" w:themeColor="text1"/>
          <w:kern w:val="0"/>
          <w:sz w:val="24"/>
          <w:szCs w:val="24"/>
        </w:rPr>
      </w:pPr>
      <w:r>
        <w:rPr>
          <w:rFonts w:ascii="楷体" w:eastAsia="楷体" w:hAnsi="楷体" w:cs="楷体" w:hint="eastAsia"/>
          <w:color w:val="000000" w:themeColor="text1"/>
          <w:kern w:val="0"/>
          <w:sz w:val="24"/>
          <w:szCs w:val="24"/>
        </w:rPr>
        <w:t>2020-2021学年编写</w:t>
      </w:r>
      <w:r>
        <w:rPr>
          <w:rFonts w:ascii="楷体" w:eastAsia="楷体" w:hAnsi="楷体" w:cs="楷体" w:hint="eastAsia"/>
          <w:color w:val="000000" w:themeColor="text1"/>
          <w:sz w:val="24"/>
          <w:szCs w:val="24"/>
        </w:rPr>
        <w:t>出版《国际经济学》教材，</w:t>
      </w:r>
      <w:r>
        <w:rPr>
          <w:rFonts w:ascii="楷体" w:eastAsia="楷体" w:hAnsi="楷体" w:cs="楷体" w:hint="eastAsia"/>
          <w:color w:val="000000" w:themeColor="text1"/>
          <w:kern w:val="0"/>
          <w:sz w:val="24"/>
          <w:szCs w:val="24"/>
        </w:rPr>
        <w:t>编写《国际服务贸易》，预计于2021年下半年出版。</w:t>
      </w:r>
    </w:p>
    <w:p w:rsidR="00A910F8" w:rsidRDefault="00E07596">
      <w:pPr>
        <w:pStyle w:val="2"/>
        <w:spacing w:before="20" w:after="20" w:line="240" w:lineRule="auto"/>
        <w:rPr>
          <w:rFonts w:ascii="楷体" w:eastAsia="楷体" w:hAnsi="楷体" w:cs="楷体"/>
          <w:sz w:val="24"/>
          <w:szCs w:val="24"/>
        </w:rPr>
      </w:pPr>
      <w:bookmarkStart w:id="10" w:name="_Toc31798"/>
      <w:r>
        <w:rPr>
          <w:rFonts w:ascii="楷体" w:eastAsia="楷体" w:hAnsi="楷体" w:cs="楷体" w:hint="eastAsia"/>
          <w:sz w:val="24"/>
          <w:szCs w:val="24"/>
        </w:rPr>
        <w:t>（二）实验实践教学</w:t>
      </w:r>
      <w:bookmarkEnd w:id="10"/>
    </w:p>
    <w:p w:rsidR="00A910F8" w:rsidRDefault="00E07596" w:rsidP="00D02887">
      <w:pPr>
        <w:widowControl/>
        <w:spacing w:line="500" w:lineRule="exact"/>
        <w:ind w:firstLineChars="200" w:firstLine="474"/>
        <w:jc w:val="left"/>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1.专业实验实践教学总学时、总学分占比情况</w:t>
      </w:r>
    </w:p>
    <w:p w:rsidR="00A910F8" w:rsidRDefault="00E07596">
      <w:pPr>
        <w:widowControl/>
        <w:spacing w:line="500" w:lineRule="exact"/>
        <w:ind w:firstLineChars="200" w:firstLine="472"/>
        <w:jc w:val="left"/>
        <w:rPr>
          <w:rFonts w:ascii="楷体" w:eastAsia="楷体" w:hAnsi="楷体" w:cs="楷体"/>
          <w:color w:val="000000"/>
          <w:kern w:val="0"/>
          <w:sz w:val="24"/>
          <w:szCs w:val="24"/>
        </w:rPr>
      </w:pPr>
      <w:r>
        <w:rPr>
          <w:rFonts w:ascii="楷体" w:eastAsia="楷体" w:hAnsi="楷体" w:cs="楷体" w:hint="eastAsia"/>
          <w:color w:val="333333"/>
          <w:sz w:val="24"/>
          <w:szCs w:val="24"/>
        </w:rPr>
        <w:t>专业实验实践教学总学时分34学分，占总学分比例为21.25%，实验实践学时为723学时，占总学时比例为29.9%。</w:t>
      </w:r>
    </w:p>
    <w:p w:rsidR="00A910F8" w:rsidRDefault="00E07596" w:rsidP="00D02887">
      <w:pPr>
        <w:widowControl/>
        <w:spacing w:line="500" w:lineRule="exact"/>
        <w:ind w:firstLineChars="200" w:firstLine="474"/>
        <w:jc w:val="left"/>
        <w:rPr>
          <w:rFonts w:ascii="楷体" w:eastAsia="楷体" w:hAnsi="楷体" w:cs="楷体"/>
          <w:b/>
          <w:bCs/>
          <w:color w:val="333333"/>
          <w:sz w:val="24"/>
          <w:szCs w:val="24"/>
        </w:rPr>
      </w:pPr>
      <w:r>
        <w:rPr>
          <w:rFonts w:ascii="楷体" w:eastAsia="楷体" w:hAnsi="楷体" w:cs="楷体" w:hint="eastAsia"/>
          <w:b/>
          <w:bCs/>
          <w:color w:val="333333"/>
          <w:sz w:val="24"/>
          <w:szCs w:val="24"/>
        </w:rPr>
        <w:t>2.实验教学大纲、实习（实训）教学大纲修订情况</w:t>
      </w:r>
    </w:p>
    <w:p w:rsidR="00A910F8" w:rsidRDefault="00E07596">
      <w:pPr>
        <w:pStyle w:val="a6"/>
        <w:shd w:val="clear" w:color="auto" w:fill="FFFFFF"/>
        <w:spacing w:before="0" w:beforeAutospacing="0" w:after="0" w:afterAutospacing="0" w:line="500" w:lineRule="exact"/>
        <w:ind w:firstLineChars="200" w:firstLine="472"/>
        <w:jc w:val="both"/>
        <w:rPr>
          <w:rFonts w:ascii="楷体" w:eastAsia="楷体" w:hAnsi="楷体" w:cs="楷体"/>
          <w:color w:val="333333"/>
          <w:kern w:val="2"/>
        </w:rPr>
      </w:pPr>
      <w:r>
        <w:rPr>
          <w:rFonts w:ascii="楷体" w:eastAsia="楷体" w:hAnsi="楷体" w:cs="楷体" w:hint="eastAsia"/>
          <w:color w:val="333333"/>
          <w:kern w:val="2"/>
        </w:rPr>
        <w:t>所开设的实验课程实验教学大纲、实验指导手册等基本教学文件完备，学生的实验报告、实验成绩等教学文档资料齐全并归档保存。</w:t>
      </w:r>
    </w:p>
    <w:p w:rsidR="00A910F8" w:rsidRDefault="00E07596" w:rsidP="00D02887">
      <w:pPr>
        <w:widowControl/>
        <w:spacing w:line="500" w:lineRule="exact"/>
        <w:ind w:firstLineChars="200" w:firstLine="474"/>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3.专业实验室建设与开放利用情况</w:t>
      </w:r>
    </w:p>
    <w:p w:rsidR="00A910F8" w:rsidRDefault="00E07596">
      <w:pPr>
        <w:widowControl/>
        <w:adjustRightInd w:val="0"/>
        <w:snapToGrid w:val="0"/>
        <w:spacing w:line="500" w:lineRule="exact"/>
        <w:ind w:firstLineChars="200" w:firstLine="472"/>
        <w:rPr>
          <w:rFonts w:ascii="楷体" w:eastAsia="楷体" w:hAnsi="楷体" w:cs="楷体"/>
          <w:kern w:val="0"/>
          <w:sz w:val="24"/>
          <w:szCs w:val="24"/>
        </w:rPr>
      </w:pPr>
      <w:r>
        <w:rPr>
          <w:rFonts w:ascii="楷体" w:eastAsia="楷体" w:hAnsi="楷体" w:cs="楷体" w:hint="eastAsia"/>
          <w:bCs/>
          <w:sz w:val="24"/>
          <w:szCs w:val="24"/>
        </w:rPr>
        <w:t>目前，</w:t>
      </w:r>
      <w:r>
        <w:rPr>
          <w:rFonts w:ascii="楷体" w:eastAsia="楷体" w:hAnsi="楷体" w:cs="楷体" w:hint="eastAsia"/>
          <w:kern w:val="0"/>
          <w:sz w:val="24"/>
          <w:szCs w:val="24"/>
        </w:rPr>
        <w:t>为了满足国际经济与贸易专业教学实践的需要，实验中心提供了丰富的各类外贸实验实践平台，包括国际结算实战、外贸实习、外贸模拟训练和跨境电商创业对抗实践平台；以及一系列情景教学和实训平台，包括：外贸单证教学、外贸实务教学、国际货运及代理实训、国贸一体化实训平台等等，详见表3-2。这些实训教学手段的介入，一方面提高了学生参与学习的积极性，让学生在边学边实际操作的过程中增强对教学内容的理解，并提高实际应用的能力。在接受这些实训教学和训练之后，每年都有很多学生参加国际贸易单证的考试，也有部分优秀学生参加全国大学生国际贸易业务的比赛，充足的实训实验设施使得本专业学生的专业技能得到大幅度提高。实验室为实训课程的顺利完成提供了有力支撑和保障。</w:t>
      </w:r>
    </w:p>
    <w:p w:rsidR="00A910F8" w:rsidRDefault="00E07596">
      <w:pPr>
        <w:widowControl/>
        <w:adjustRightInd w:val="0"/>
        <w:snapToGrid w:val="0"/>
        <w:spacing w:line="500" w:lineRule="exact"/>
        <w:ind w:firstLineChars="300" w:firstLine="708"/>
        <w:rPr>
          <w:rFonts w:ascii="楷体" w:eastAsia="楷体" w:hAnsi="楷体" w:cs="楷体"/>
          <w:kern w:val="0"/>
          <w:sz w:val="24"/>
          <w:szCs w:val="24"/>
        </w:rPr>
      </w:pPr>
      <w:r>
        <w:rPr>
          <w:rFonts w:ascii="楷体" w:eastAsia="楷体" w:hAnsi="楷体" w:cs="楷体" w:hint="eastAsia"/>
          <w:kern w:val="0"/>
          <w:sz w:val="24"/>
          <w:szCs w:val="24"/>
        </w:rPr>
        <w:t>2020-2021学年间，承担进出口结算（实训）、国际商务谈判实训、经济分析实验、</w:t>
      </w:r>
      <w:r w:rsidR="00014399">
        <w:fldChar w:fldCharType="begin"/>
      </w:r>
      <w:r w:rsidR="00014399">
        <w:instrText xml:space="preserve"> HYPERLINK "https://lxjw.lixin.edu.cn/edu/lesson/admin/teachTaskSearch!info.action?lesson.id=384080" \o "</w:instrText>
      </w:r>
      <w:r w:rsidR="00014399">
        <w:instrText>查看任务详细信息</w:instrText>
      </w:r>
      <w:r w:rsidR="00014399">
        <w:instrText xml:space="preserve">" </w:instrText>
      </w:r>
      <w:r w:rsidR="00014399">
        <w:fldChar w:fldCharType="separate"/>
      </w:r>
      <w:r>
        <w:rPr>
          <w:rFonts w:ascii="楷体" w:eastAsia="楷体" w:hAnsi="楷体" w:cs="楷体" w:hint="eastAsia"/>
          <w:kern w:val="0"/>
          <w:sz w:val="24"/>
          <w:szCs w:val="24"/>
        </w:rPr>
        <w:t>国际贸易情景综合实训</w:t>
      </w:r>
      <w:r w:rsidR="00014399">
        <w:rPr>
          <w:rFonts w:ascii="楷体" w:eastAsia="楷体" w:hAnsi="楷体" w:cs="楷体"/>
          <w:kern w:val="0"/>
          <w:sz w:val="24"/>
          <w:szCs w:val="24"/>
        </w:rPr>
        <w:fldChar w:fldCharType="end"/>
      </w:r>
      <w:r>
        <w:rPr>
          <w:rFonts w:ascii="楷体" w:eastAsia="楷体" w:hAnsi="楷体" w:cs="楷体" w:hint="eastAsia"/>
          <w:kern w:val="0"/>
          <w:sz w:val="24"/>
          <w:szCs w:val="24"/>
        </w:rPr>
        <w:t xml:space="preserve">、国际贸易实务、企业国际化运营实训等实训课程的实验室覆盖学生人数为2227人，利用人时数601290，详见表3-3。 </w:t>
      </w:r>
    </w:p>
    <w:p w:rsidR="00A910F8" w:rsidRDefault="00E07596" w:rsidP="00D02887">
      <w:pPr>
        <w:widowControl/>
        <w:adjustRightInd w:val="0"/>
        <w:snapToGrid w:val="0"/>
        <w:spacing w:line="500" w:lineRule="exact"/>
        <w:ind w:firstLineChars="200" w:firstLine="474"/>
        <w:jc w:val="center"/>
        <w:rPr>
          <w:rFonts w:ascii="楷体" w:eastAsia="楷体" w:hAnsi="楷体" w:cs="楷体"/>
          <w:b/>
          <w:kern w:val="0"/>
          <w:sz w:val="24"/>
          <w:szCs w:val="24"/>
        </w:rPr>
      </w:pPr>
      <w:r>
        <w:rPr>
          <w:rFonts w:ascii="楷体" w:eastAsia="楷体" w:hAnsi="楷体" w:cs="楷体" w:hint="eastAsia"/>
          <w:b/>
          <w:kern w:val="0"/>
          <w:sz w:val="24"/>
          <w:szCs w:val="24"/>
        </w:rPr>
        <w:lastRenderedPageBreak/>
        <w:t>表3-2国际经贸学院实验室实训教学平台情况一览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7711"/>
      </w:tblGrid>
      <w:tr w:rsidR="00A910F8">
        <w:trPr>
          <w:trHeight w:val="255"/>
          <w:jc w:val="center"/>
        </w:trPr>
        <w:tc>
          <w:tcPr>
            <w:tcW w:w="745" w:type="pct"/>
            <w:shd w:val="clear" w:color="auto" w:fill="E7E6E6" w:themeFill="background2"/>
          </w:tcPr>
          <w:p w:rsidR="00A910F8" w:rsidRDefault="00E07596">
            <w:pPr>
              <w:pStyle w:val="a9"/>
              <w:jc w:val="center"/>
              <w:rPr>
                <w:rFonts w:ascii="楷体" w:eastAsia="楷体" w:hAnsi="楷体" w:cs="楷体"/>
                <w:b/>
                <w:bCs/>
                <w:sz w:val="24"/>
              </w:rPr>
            </w:pPr>
            <w:r>
              <w:rPr>
                <w:rFonts w:ascii="楷体" w:eastAsia="楷体" w:hAnsi="楷体" w:cs="楷体" w:hint="eastAsia"/>
                <w:b/>
                <w:bCs/>
                <w:sz w:val="24"/>
              </w:rPr>
              <w:t>序号</w:t>
            </w:r>
          </w:p>
        </w:tc>
        <w:tc>
          <w:tcPr>
            <w:tcW w:w="4255" w:type="pct"/>
            <w:shd w:val="clear" w:color="auto" w:fill="E7E6E6" w:themeFill="background2"/>
          </w:tcPr>
          <w:p w:rsidR="00A910F8" w:rsidRDefault="00E07596">
            <w:pPr>
              <w:pStyle w:val="a9"/>
              <w:jc w:val="center"/>
              <w:rPr>
                <w:rFonts w:ascii="楷体" w:eastAsia="楷体" w:hAnsi="楷体" w:cs="楷体"/>
                <w:b/>
                <w:bCs/>
                <w:sz w:val="24"/>
              </w:rPr>
            </w:pPr>
            <w:r>
              <w:rPr>
                <w:rFonts w:ascii="楷体" w:eastAsia="楷体" w:hAnsi="楷体" w:cs="楷体" w:hint="eastAsia"/>
                <w:b/>
                <w:bCs/>
                <w:sz w:val="24"/>
              </w:rPr>
              <w:t>软件名称</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1</w:t>
            </w:r>
          </w:p>
        </w:tc>
        <w:tc>
          <w:tcPr>
            <w:tcW w:w="4255" w:type="pct"/>
            <w:shd w:val="clear" w:color="auto" w:fill="auto"/>
          </w:tcPr>
          <w:p w:rsidR="00A910F8" w:rsidRDefault="00E07596">
            <w:pPr>
              <w:pStyle w:val="a9"/>
              <w:jc w:val="center"/>
              <w:rPr>
                <w:rFonts w:ascii="楷体" w:eastAsia="楷体" w:hAnsi="楷体" w:cs="楷体"/>
                <w:sz w:val="24"/>
              </w:rPr>
            </w:pPr>
            <w:proofErr w:type="spellStart"/>
            <w:r>
              <w:rPr>
                <w:rFonts w:ascii="楷体" w:eastAsia="楷体" w:hAnsi="楷体" w:cs="楷体" w:hint="eastAsia"/>
                <w:sz w:val="24"/>
              </w:rPr>
              <w:t>SimTrade</w:t>
            </w:r>
            <w:proofErr w:type="spellEnd"/>
            <w:r>
              <w:rPr>
                <w:rFonts w:ascii="楷体" w:eastAsia="楷体" w:hAnsi="楷体" w:cs="楷体" w:hint="eastAsia"/>
                <w:sz w:val="24"/>
              </w:rPr>
              <w:t>外贸实习平台</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2</w:t>
            </w:r>
          </w:p>
        </w:tc>
        <w:tc>
          <w:tcPr>
            <w:tcW w:w="4255" w:type="pct"/>
            <w:shd w:val="clear" w:color="auto" w:fill="auto"/>
          </w:tcPr>
          <w:p w:rsidR="00A910F8" w:rsidRDefault="00E07596">
            <w:pPr>
              <w:pStyle w:val="a9"/>
              <w:jc w:val="center"/>
              <w:rPr>
                <w:rFonts w:ascii="楷体" w:eastAsia="楷体" w:hAnsi="楷体" w:cs="楷体"/>
                <w:sz w:val="24"/>
              </w:rPr>
            </w:pPr>
            <w:proofErr w:type="spellStart"/>
            <w:r>
              <w:rPr>
                <w:rFonts w:ascii="楷体" w:eastAsia="楷体" w:hAnsi="楷体" w:cs="楷体" w:hint="eastAsia"/>
                <w:sz w:val="24"/>
              </w:rPr>
              <w:t>SimTrade</w:t>
            </w:r>
            <w:proofErr w:type="spellEnd"/>
            <w:r>
              <w:rPr>
                <w:rFonts w:ascii="楷体" w:eastAsia="楷体" w:hAnsi="楷体" w:cs="楷体" w:hint="eastAsia"/>
                <w:sz w:val="24"/>
              </w:rPr>
              <w:t>外贸实务教学系统</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3</w:t>
            </w:r>
          </w:p>
        </w:tc>
        <w:tc>
          <w:tcPr>
            <w:tcW w:w="4255" w:type="pct"/>
            <w:shd w:val="clear" w:color="auto" w:fill="auto"/>
          </w:tcPr>
          <w:p w:rsidR="00A910F8" w:rsidRDefault="00E07596">
            <w:pPr>
              <w:pStyle w:val="a9"/>
              <w:jc w:val="center"/>
              <w:rPr>
                <w:rFonts w:ascii="楷体" w:eastAsia="楷体" w:hAnsi="楷体" w:cs="楷体"/>
                <w:sz w:val="24"/>
              </w:rPr>
            </w:pPr>
            <w:proofErr w:type="spellStart"/>
            <w:r>
              <w:rPr>
                <w:rFonts w:ascii="楷体" w:eastAsia="楷体" w:hAnsi="楷体" w:cs="楷体" w:hint="eastAsia"/>
                <w:sz w:val="24"/>
              </w:rPr>
              <w:t>SimTrade</w:t>
            </w:r>
            <w:proofErr w:type="spellEnd"/>
            <w:r>
              <w:rPr>
                <w:rFonts w:ascii="楷体" w:eastAsia="楷体" w:hAnsi="楷体" w:cs="楷体" w:hint="eastAsia"/>
                <w:sz w:val="24"/>
              </w:rPr>
              <w:t>外贸单证教学系统</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4</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国际贸易模拟实习教学软件(TMT4)</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5</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电子商务模拟实习(ITS)</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6</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"进出口贸易实务"题库(QBIEO)</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7</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国际贸易实务模拟软件</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8</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外贸单证实训软件</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9</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商务英语函电实训软件</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10</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报关与报检综合实训平</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11</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国际货代管理教学软件</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12</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外贸商务平台及案例库</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13</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智盛网上银行模拟软件</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14</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跨国连锁经营管理教学软件</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15</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云端创业教练实训平台系统</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16</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国际会展实训平台</w:t>
            </w:r>
          </w:p>
        </w:tc>
      </w:tr>
      <w:tr w:rsidR="00A910F8">
        <w:trPr>
          <w:trHeight w:val="255"/>
          <w:jc w:val="center"/>
        </w:trPr>
        <w:tc>
          <w:tcPr>
            <w:tcW w:w="74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17</w:t>
            </w:r>
          </w:p>
        </w:tc>
        <w:tc>
          <w:tcPr>
            <w:tcW w:w="4255" w:type="pct"/>
            <w:shd w:val="clear" w:color="auto" w:fill="auto"/>
          </w:tcPr>
          <w:p w:rsidR="00A910F8" w:rsidRDefault="00E07596">
            <w:pPr>
              <w:pStyle w:val="a9"/>
              <w:jc w:val="center"/>
              <w:rPr>
                <w:rFonts w:ascii="楷体" w:eastAsia="楷体" w:hAnsi="楷体" w:cs="楷体"/>
                <w:sz w:val="24"/>
              </w:rPr>
            </w:pPr>
            <w:r>
              <w:rPr>
                <w:rFonts w:ascii="楷体" w:eastAsia="楷体" w:hAnsi="楷体" w:cs="楷体" w:hint="eastAsia"/>
                <w:sz w:val="24"/>
              </w:rPr>
              <w:t>供应链管理软件</w:t>
            </w:r>
          </w:p>
        </w:tc>
      </w:tr>
    </w:tbl>
    <w:p w:rsidR="00A910F8" w:rsidRDefault="00A910F8">
      <w:pPr>
        <w:widowControl/>
        <w:adjustRightInd w:val="0"/>
        <w:snapToGrid w:val="0"/>
        <w:spacing w:line="360" w:lineRule="auto"/>
        <w:ind w:rightChars="50" w:right="158"/>
        <w:rPr>
          <w:rFonts w:ascii="楷体" w:eastAsia="楷体" w:hAnsi="楷体" w:cs="楷体"/>
          <w:b/>
          <w:kern w:val="0"/>
          <w:sz w:val="24"/>
          <w:szCs w:val="24"/>
        </w:rPr>
      </w:pPr>
    </w:p>
    <w:p w:rsidR="00A910F8" w:rsidRDefault="00E07596">
      <w:pPr>
        <w:widowControl/>
        <w:adjustRightInd w:val="0"/>
        <w:snapToGrid w:val="0"/>
        <w:spacing w:line="360" w:lineRule="auto"/>
        <w:ind w:rightChars="50" w:right="158" w:firstLine="707"/>
        <w:jc w:val="center"/>
        <w:rPr>
          <w:rFonts w:ascii="楷体" w:eastAsia="楷体" w:hAnsi="楷体" w:cs="楷体"/>
          <w:b/>
          <w:kern w:val="0"/>
          <w:sz w:val="24"/>
          <w:szCs w:val="24"/>
        </w:rPr>
      </w:pPr>
      <w:r>
        <w:rPr>
          <w:rFonts w:ascii="楷体" w:eastAsia="楷体" w:hAnsi="楷体" w:cs="楷体" w:hint="eastAsia"/>
          <w:b/>
          <w:kern w:val="0"/>
          <w:sz w:val="24"/>
          <w:szCs w:val="24"/>
        </w:rPr>
        <w:t>表3-3校内实验室使用情况</w:t>
      </w:r>
    </w:p>
    <w:tbl>
      <w:tblPr>
        <w:tblW w:w="5000" w:type="pct"/>
        <w:jc w:val="center"/>
        <w:tblCellMar>
          <w:left w:w="0" w:type="dxa"/>
          <w:right w:w="0" w:type="dxa"/>
        </w:tblCellMar>
        <w:tblLook w:val="04A0" w:firstRow="1" w:lastRow="0" w:firstColumn="1" w:lastColumn="0" w:noHBand="0" w:noVBand="1"/>
      </w:tblPr>
      <w:tblGrid>
        <w:gridCol w:w="447"/>
        <w:gridCol w:w="2003"/>
        <w:gridCol w:w="1831"/>
        <w:gridCol w:w="3047"/>
        <w:gridCol w:w="1628"/>
      </w:tblGrid>
      <w:tr w:rsidR="00A910F8">
        <w:trPr>
          <w:trHeight w:val="657"/>
          <w:tblHeader/>
          <w:jc w:val="center"/>
        </w:trPr>
        <w:tc>
          <w:tcPr>
            <w:tcW w:w="250" w:type="pct"/>
            <w:tcBorders>
              <w:top w:val="single" w:sz="2" w:space="0" w:color="auto"/>
              <w:left w:val="single" w:sz="2" w:space="0" w:color="auto"/>
              <w:bottom w:val="single" w:sz="2" w:space="0" w:color="auto"/>
            </w:tcBorders>
            <w:shd w:val="clear" w:color="auto" w:fill="E7E6E6"/>
            <w:vAlign w:val="center"/>
          </w:tcPr>
          <w:p w:rsidR="00A910F8" w:rsidRDefault="00E07596">
            <w:pPr>
              <w:pStyle w:val="a9"/>
              <w:jc w:val="center"/>
              <w:rPr>
                <w:rFonts w:ascii="楷体" w:eastAsia="楷体" w:hAnsi="楷体" w:cs="楷体"/>
                <w:b/>
                <w:sz w:val="24"/>
              </w:rPr>
            </w:pPr>
            <w:r>
              <w:rPr>
                <w:rFonts w:ascii="楷体" w:eastAsia="楷体" w:hAnsi="楷体" w:cs="楷体" w:hint="eastAsia"/>
                <w:b/>
                <w:sz w:val="24"/>
              </w:rPr>
              <w:t>序号</w:t>
            </w:r>
          </w:p>
        </w:tc>
        <w:tc>
          <w:tcPr>
            <w:tcW w:w="1118" w:type="pct"/>
            <w:tcBorders>
              <w:top w:val="single" w:sz="2" w:space="0" w:color="auto"/>
              <w:bottom w:val="single" w:sz="2" w:space="0" w:color="auto"/>
            </w:tcBorders>
            <w:shd w:val="clear" w:color="auto" w:fill="E7E6E6"/>
            <w:tcMar>
              <w:top w:w="0" w:type="dxa"/>
              <w:left w:w="108" w:type="dxa"/>
              <w:bottom w:w="0" w:type="dxa"/>
              <w:right w:w="108" w:type="dxa"/>
            </w:tcMar>
            <w:vAlign w:val="center"/>
          </w:tcPr>
          <w:p w:rsidR="00A910F8" w:rsidRDefault="00E07596">
            <w:pPr>
              <w:pStyle w:val="a9"/>
              <w:jc w:val="center"/>
              <w:rPr>
                <w:rFonts w:ascii="楷体" w:eastAsia="楷体" w:hAnsi="楷体" w:cs="楷体"/>
                <w:b/>
                <w:sz w:val="24"/>
              </w:rPr>
            </w:pPr>
            <w:r>
              <w:rPr>
                <w:rFonts w:ascii="楷体" w:eastAsia="楷体" w:hAnsi="楷体" w:cs="楷体" w:hint="eastAsia"/>
                <w:b/>
                <w:sz w:val="24"/>
              </w:rPr>
              <w:t>名称</w:t>
            </w:r>
          </w:p>
        </w:tc>
        <w:tc>
          <w:tcPr>
            <w:tcW w:w="1022" w:type="pct"/>
            <w:tcBorders>
              <w:top w:val="single" w:sz="2" w:space="0" w:color="auto"/>
              <w:bottom w:val="single" w:sz="2" w:space="0" w:color="auto"/>
            </w:tcBorders>
            <w:shd w:val="clear" w:color="auto" w:fill="E7E6E6"/>
            <w:tcMar>
              <w:top w:w="0" w:type="dxa"/>
              <w:left w:w="108" w:type="dxa"/>
              <w:bottom w:w="0" w:type="dxa"/>
              <w:right w:w="108" w:type="dxa"/>
            </w:tcMar>
            <w:vAlign w:val="center"/>
          </w:tcPr>
          <w:p w:rsidR="00A910F8" w:rsidRDefault="00E07596">
            <w:pPr>
              <w:pStyle w:val="a9"/>
              <w:jc w:val="center"/>
              <w:rPr>
                <w:rFonts w:ascii="楷体" w:eastAsia="楷体" w:hAnsi="楷体" w:cs="楷体"/>
                <w:b/>
                <w:sz w:val="24"/>
              </w:rPr>
            </w:pPr>
            <w:r>
              <w:rPr>
                <w:rFonts w:ascii="楷体" w:eastAsia="楷体" w:hAnsi="楷体" w:cs="楷体" w:hint="eastAsia"/>
                <w:b/>
                <w:sz w:val="24"/>
              </w:rPr>
              <w:t>承担的教学任务</w:t>
            </w:r>
          </w:p>
        </w:tc>
        <w:tc>
          <w:tcPr>
            <w:tcW w:w="1701" w:type="pct"/>
            <w:tcBorders>
              <w:top w:val="single" w:sz="2" w:space="0" w:color="auto"/>
              <w:bottom w:val="single" w:sz="2" w:space="0" w:color="auto"/>
            </w:tcBorders>
            <w:shd w:val="clear" w:color="auto" w:fill="E7E6E6"/>
            <w:tcMar>
              <w:top w:w="0" w:type="dxa"/>
              <w:left w:w="108" w:type="dxa"/>
              <w:bottom w:w="0" w:type="dxa"/>
              <w:right w:w="108" w:type="dxa"/>
            </w:tcMar>
            <w:vAlign w:val="center"/>
          </w:tcPr>
          <w:p w:rsidR="00A910F8" w:rsidRDefault="00E07596">
            <w:pPr>
              <w:pStyle w:val="a9"/>
              <w:jc w:val="center"/>
              <w:rPr>
                <w:rFonts w:ascii="楷体" w:eastAsia="楷体" w:hAnsi="楷体" w:cs="楷体"/>
                <w:b/>
                <w:sz w:val="24"/>
              </w:rPr>
            </w:pPr>
            <w:r>
              <w:rPr>
                <w:rFonts w:ascii="楷体" w:eastAsia="楷体" w:hAnsi="楷体" w:cs="楷体" w:hint="eastAsia"/>
                <w:b/>
                <w:sz w:val="24"/>
              </w:rPr>
              <w:t>考核</w:t>
            </w:r>
          </w:p>
          <w:p w:rsidR="00A910F8" w:rsidRDefault="00E07596">
            <w:pPr>
              <w:pStyle w:val="a9"/>
              <w:jc w:val="center"/>
              <w:rPr>
                <w:rFonts w:ascii="楷体" w:eastAsia="楷体" w:hAnsi="楷体" w:cs="楷体"/>
                <w:b/>
                <w:sz w:val="24"/>
              </w:rPr>
            </w:pPr>
            <w:r>
              <w:rPr>
                <w:rFonts w:ascii="楷体" w:eastAsia="楷体" w:hAnsi="楷体" w:cs="楷体" w:hint="eastAsia"/>
                <w:b/>
                <w:sz w:val="24"/>
              </w:rPr>
              <w:t>方式</w:t>
            </w:r>
          </w:p>
        </w:tc>
        <w:tc>
          <w:tcPr>
            <w:tcW w:w="909" w:type="pct"/>
            <w:tcBorders>
              <w:top w:val="single" w:sz="2" w:space="0" w:color="auto"/>
              <w:bottom w:val="single" w:sz="2" w:space="0" w:color="auto"/>
              <w:right w:val="single" w:sz="2" w:space="0" w:color="auto"/>
            </w:tcBorders>
            <w:shd w:val="clear" w:color="auto" w:fill="E7E6E6"/>
            <w:tcMar>
              <w:top w:w="0" w:type="dxa"/>
              <w:left w:w="108" w:type="dxa"/>
              <w:bottom w:w="0" w:type="dxa"/>
              <w:right w:w="108" w:type="dxa"/>
            </w:tcMar>
            <w:vAlign w:val="center"/>
          </w:tcPr>
          <w:p w:rsidR="00A910F8" w:rsidRDefault="00E07596">
            <w:pPr>
              <w:pStyle w:val="a9"/>
              <w:rPr>
                <w:rFonts w:ascii="楷体" w:eastAsia="楷体" w:hAnsi="楷体" w:cs="楷体"/>
                <w:b/>
                <w:sz w:val="24"/>
              </w:rPr>
            </w:pPr>
            <w:r>
              <w:rPr>
                <w:rFonts w:ascii="楷体" w:eastAsia="楷体" w:hAnsi="楷体" w:cs="楷体" w:hint="eastAsia"/>
                <w:b/>
                <w:sz w:val="24"/>
              </w:rPr>
              <w:t>2020-2021学年受益学生数</w:t>
            </w:r>
          </w:p>
        </w:tc>
      </w:tr>
      <w:tr w:rsidR="00A910F8">
        <w:trPr>
          <w:trHeight w:val="329"/>
          <w:jc w:val="center"/>
        </w:trPr>
        <w:tc>
          <w:tcPr>
            <w:tcW w:w="250" w:type="pct"/>
            <w:tcBorders>
              <w:top w:val="single" w:sz="2" w:space="0" w:color="auto"/>
              <w:left w:val="single" w:sz="8" w:space="0" w:color="auto"/>
              <w:bottom w:val="single" w:sz="8" w:space="0" w:color="auto"/>
              <w:right w:val="single" w:sz="8" w:space="0" w:color="auto"/>
            </w:tcBorders>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1</w:t>
            </w:r>
          </w:p>
        </w:tc>
        <w:tc>
          <w:tcPr>
            <w:tcW w:w="1118" w:type="pct"/>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国际经济与贸易</w:t>
            </w:r>
          </w:p>
          <w:p w:rsidR="00A910F8" w:rsidRDefault="00E07596">
            <w:pPr>
              <w:pStyle w:val="a9"/>
              <w:jc w:val="center"/>
              <w:rPr>
                <w:rFonts w:ascii="楷体" w:eastAsia="楷体" w:hAnsi="楷体" w:cs="楷体"/>
                <w:sz w:val="24"/>
              </w:rPr>
            </w:pPr>
            <w:r>
              <w:rPr>
                <w:rFonts w:ascii="楷体" w:eastAsia="楷体" w:hAnsi="楷体" w:cs="楷体" w:hint="eastAsia"/>
                <w:sz w:val="24"/>
              </w:rPr>
              <w:t>实验室</w:t>
            </w:r>
          </w:p>
        </w:tc>
        <w:tc>
          <w:tcPr>
            <w:tcW w:w="1022" w:type="pct"/>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进出口结算实训</w:t>
            </w:r>
          </w:p>
        </w:tc>
        <w:tc>
          <w:tcPr>
            <w:tcW w:w="1701" w:type="pct"/>
            <w:vMerge w:val="restart"/>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10F8" w:rsidRDefault="00E07596">
            <w:pPr>
              <w:pStyle w:val="a9"/>
              <w:jc w:val="left"/>
              <w:rPr>
                <w:rFonts w:ascii="楷体" w:eastAsia="楷体" w:hAnsi="楷体" w:cs="楷体"/>
                <w:sz w:val="24"/>
              </w:rPr>
            </w:pPr>
            <w:r>
              <w:rPr>
                <w:rFonts w:ascii="楷体" w:eastAsia="楷体" w:hAnsi="楷体" w:cs="楷体" w:hint="eastAsia"/>
                <w:color w:val="000000"/>
                <w:kern w:val="0"/>
                <w:sz w:val="24"/>
              </w:rPr>
              <w:t>在规定时间内，一般为6-12周， 学生分组实现实训项目的要求，并完成实习报告。实训成绩主要由出勤、实训过程中的表现、实习报告的质量、最终完成的实训项目的质量等构成。最终给出成绩，判定其通过或者不通过。</w:t>
            </w:r>
          </w:p>
        </w:tc>
        <w:tc>
          <w:tcPr>
            <w:tcW w:w="909" w:type="pct"/>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10F8" w:rsidRDefault="00A910F8">
            <w:pPr>
              <w:pStyle w:val="a9"/>
              <w:jc w:val="center"/>
              <w:rPr>
                <w:rFonts w:ascii="楷体" w:eastAsia="楷体" w:hAnsi="楷体" w:cs="楷体"/>
                <w:sz w:val="24"/>
              </w:rPr>
            </w:pPr>
          </w:p>
          <w:p w:rsidR="00A910F8" w:rsidRDefault="00E07596">
            <w:pPr>
              <w:pStyle w:val="a9"/>
              <w:jc w:val="center"/>
              <w:rPr>
                <w:rFonts w:ascii="楷体" w:eastAsia="楷体" w:hAnsi="楷体" w:cs="楷体"/>
                <w:sz w:val="24"/>
              </w:rPr>
            </w:pPr>
            <w:r>
              <w:rPr>
                <w:rFonts w:ascii="楷体" w:eastAsia="楷体" w:hAnsi="楷体" w:cs="楷体" w:hint="eastAsia"/>
                <w:sz w:val="24"/>
              </w:rPr>
              <w:t>220</w:t>
            </w:r>
          </w:p>
        </w:tc>
      </w:tr>
      <w:tr w:rsidR="00A910F8">
        <w:trPr>
          <w:trHeight w:val="478"/>
          <w:jc w:val="center"/>
        </w:trPr>
        <w:tc>
          <w:tcPr>
            <w:tcW w:w="250" w:type="pct"/>
            <w:tcBorders>
              <w:top w:val="single" w:sz="8" w:space="0" w:color="auto"/>
              <w:left w:val="single" w:sz="8" w:space="0" w:color="000000"/>
              <w:bottom w:val="outset" w:sz="6" w:space="0" w:color="000000"/>
              <w:right w:val="single" w:sz="8" w:space="0" w:color="000000"/>
            </w:tcBorders>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w:t>
            </w:r>
          </w:p>
        </w:tc>
        <w:tc>
          <w:tcPr>
            <w:tcW w:w="1118" w:type="pct"/>
            <w:tcBorders>
              <w:top w:val="single" w:sz="8" w:space="0" w:color="auto"/>
              <w:left w:val="single" w:sz="8" w:space="0" w:color="000000"/>
              <w:bottom w:val="outset" w:sz="6" w:space="0" w:color="000000"/>
              <w:right w:val="single" w:sz="8" w:space="0" w:color="000000"/>
            </w:tcBorders>
            <w:tcMar>
              <w:top w:w="0" w:type="dxa"/>
              <w:left w:w="108" w:type="dxa"/>
              <w:bottom w:w="0" w:type="dxa"/>
              <w:right w:w="108" w:type="dxa"/>
            </w:tcMar>
            <w:vAlign w:val="center"/>
          </w:tcPr>
          <w:p w:rsidR="00A910F8" w:rsidRDefault="00E07596">
            <w:pPr>
              <w:pStyle w:val="a9"/>
              <w:ind w:firstLineChars="50" w:firstLine="118"/>
              <w:jc w:val="center"/>
              <w:rPr>
                <w:rFonts w:ascii="楷体" w:eastAsia="楷体" w:hAnsi="楷体" w:cs="楷体"/>
                <w:sz w:val="24"/>
              </w:rPr>
            </w:pPr>
            <w:r>
              <w:rPr>
                <w:rFonts w:ascii="楷体" w:eastAsia="楷体" w:hAnsi="楷体" w:cs="楷体" w:hint="eastAsia"/>
                <w:sz w:val="24"/>
              </w:rPr>
              <w:t>商务谈判实验室</w:t>
            </w:r>
          </w:p>
        </w:tc>
        <w:tc>
          <w:tcPr>
            <w:tcW w:w="1022" w:type="pct"/>
            <w:tcBorders>
              <w:top w:val="single" w:sz="8" w:space="0" w:color="auto"/>
              <w:left w:val="outset" w:sz="6" w:space="0" w:color="000000"/>
              <w:bottom w:val="outset" w:sz="6" w:space="0" w:color="000000"/>
              <w:right w:val="single" w:sz="8" w:space="0" w:color="000000"/>
            </w:tcBorders>
            <w:tcMar>
              <w:top w:w="0" w:type="dxa"/>
              <w:left w:w="108" w:type="dxa"/>
              <w:bottom w:w="0" w:type="dxa"/>
              <w:right w:w="108" w:type="dxa"/>
            </w:tcMar>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国际商务谈判实训</w:t>
            </w:r>
          </w:p>
        </w:tc>
        <w:tc>
          <w:tcPr>
            <w:tcW w:w="1701" w:type="pct"/>
            <w:vMerge/>
            <w:tcBorders>
              <w:top w:val="single" w:sz="8" w:space="0" w:color="auto"/>
              <w:left w:val="outset" w:sz="6" w:space="0" w:color="000000"/>
              <w:right w:val="single" w:sz="8" w:space="0" w:color="000000"/>
            </w:tcBorders>
            <w:tcMar>
              <w:top w:w="0" w:type="dxa"/>
              <w:left w:w="108" w:type="dxa"/>
              <w:bottom w:w="0" w:type="dxa"/>
              <w:right w:w="108" w:type="dxa"/>
            </w:tcMar>
            <w:vAlign w:val="center"/>
          </w:tcPr>
          <w:p w:rsidR="00A910F8" w:rsidRDefault="00A910F8">
            <w:pPr>
              <w:pStyle w:val="a9"/>
              <w:jc w:val="center"/>
              <w:rPr>
                <w:rFonts w:ascii="楷体" w:eastAsia="楷体" w:hAnsi="楷体" w:cs="楷体"/>
                <w:sz w:val="24"/>
              </w:rPr>
            </w:pPr>
          </w:p>
        </w:tc>
        <w:tc>
          <w:tcPr>
            <w:tcW w:w="909" w:type="pct"/>
            <w:tcBorders>
              <w:top w:val="single" w:sz="8" w:space="0" w:color="auto"/>
              <w:left w:val="outset" w:sz="6" w:space="0" w:color="000000"/>
              <w:bottom w:val="outset" w:sz="6" w:space="0" w:color="000000"/>
              <w:right w:val="single" w:sz="8" w:space="0" w:color="000000"/>
            </w:tcBorders>
            <w:tcMar>
              <w:top w:w="0" w:type="dxa"/>
              <w:left w:w="108" w:type="dxa"/>
              <w:bottom w:w="0" w:type="dxa"/>
              <w:right w:w="108" w:type="dxa"/>
            </w:tcMar>
            <w:vAlign w:val="center"/>
          </w:tcPr>
          <w:p w:rsidR="00A910F8" w:rsidRDefault="00A910F8">
            <w:pPr>
              <w:pStyle w:val="a9"/>
              <w:jc w:val="center"/>
              <w:rPr>
                <w:rFonts w:ascii="楷体" w:eastAsia="楷体" w:hAnsi="楷体" w:cs="楷体"/>
                <w:sz w:val="24"/>
              </w:rPr>
            </w:pPr>
          </w:p>
          <w:p w:rsidR="00A910F8" w:rsidRDefault="00E07596">
            <w:pPr>
              <w:pStyle w:val="a9"/>
              <w:jc w:val="center"/>
              <w:rPr>
                <w:rFonts w:ascii="楷体" w:eastAsia="楷体" w:hAnsi="楷体" w:cs="楷体"/>
                <w:sz w:val="24"/>
              </w:rPr>
            </w:pPr>
            <w:r>
              <w:rPr>
                <w:rFonts w:ascii="楷体" w:eastAsia="楷体" w:hAnsi="楷体" w:cs="楷体" w:hint="eastAsia"/>
                <w:sz w:val="24"/>
              </w:rPr>
              <w:t>371</w:t>
            </w:r>
          </w:p>
        </w:tc>
      </w:tr>
      <w:tr w:rsidR="00A910F8">
        <w:trPr>
          <w:trHeight w:val="548"/>
          <w:jc w:val="center"/>
        </w:trPr>
        <w:tc>
          <w:tcPr>
            <w:tcW w:w="250" w:type="pct"/>
            <w:tcBorders>
              <w:top w:val="outset" w:sz="6" w:space="0" w:color="000000"/>
              <w:left w:val="single" w:sz="8" w:space="0" w:color="000000"/>
              <w:bottom w:val="outset" w:sz="6" w:space="0" w:color="000000"/>
              <w:right w:val="single" w:sz="8" w:space="0" w:color="000000"/>
            </w:tcBorders>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3</w:t>
            </w:r>
          </w:p>
        </w:tc>
        <w:tc>
          <w:tcPr>
            <w:tcW w:w="1118" w:type="pct"/>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A910F8" w:rsidRDefault="00E07596">
            <w:pPr>
              <w:pStyle w:val="a9"/>
              <w:ind w:firstLineChars="50" w:firstLine="118"/>
              <w:jc w:val="center"/>
              <w:rPr>
                <w:rFonts w:ascii="楷体" w:eastAsia="楷体" w:hAnsi="楷体" w:cs="楷体"/>
                <w:sz w:val="24"/>
              </w:rPr>
            </w:pPr>
            <w:r>
              <w:rPr>
                <w:rFonts w:ascii="楷体" w:eastAsia="楷体" w:hAnsi="楷体" w:cs="楷体" w:hint="eastAsia"/>
                <w:kern w:val="0"/>
                <w:sz w:val="24"/>
              </w:rPr>
              <w:t>经济学实验室</w:t>
            </w:r>
          </w:p>
        </w:tc>
        <w:tc>
          <w:tcPr>
            <w:tcW w:w="1022" w:type="pct"/>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经济分析实验</w:t>
            </w:r>
          </w:p>
        </w:tc>
        <w:tc>
          <w:tcPr>
            <w:tcW w:w="1701" w:type="pct"/>
            <w:vMerge/>
            <w:tcBorders>
              <w:left w:val="outset" w:sz="6" w:space="0" w:color="000000"/>
              <w:right w:val="single" w:sz="8" w:space="0" w:color="000000"/>
            </w:tcBorders>
            <w:tcMar>
              <w:top w:w="0" w:type="dxa"/>
              <w:left w:w="108" w:type="dxa"/>
              <w:bottom w:w="0" w:type="dxa"/>
              <w:right w:w="108" w:type="dxa"/>
            </w:tcMar>
            <w:vAlign w:val="center"/>
          </w:tcPr>
          <w:p w:rsidR="00A910F8" w:rsidRDefault="00A910F8">
            <w:pPr>
              <w:pStyle w:val="a9"/>
              <w:jc w:val="center"/>
              <w:rPr>
                <w:rFonts w:ascii="楷体" w:eastAsia="楷体" w:hAnsi="楷体" w:cs="楷体"/>
                <w:sz w:val="24"/>
              </w:rPr>
            </w:pPr>
          </w:p>
        </w:tc>
        <w:tc>
          <w:tcPr>
            <w:tcW w:w="909" w:type="pct"/>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A910F8" w:rsidRDefault="00A910F8">
            <w:pPr>
              <w:pStyle w:val="a9"/>
              <w:jc w:val="center"/>
              <w:rPr>
                <w:rFonts w:ascii="楷体" w:eastAsia="楷体" w:hAnsi="楷体" w:cs="楷体"/>
                <w:sz w:val="24"/>
              </w:rPr>
            </w:pPr>
          </w:p>
          <w:p w:rsidR="00A910F8" w:rsidRDefault="00E07596">
            <w:pPr>
              <w:pStyle w:val="a9"/>
              <w:jc w:val="center"/>
              <w:rPr>
                <w:rFonts w:ascii="楷体" w:eastAsia="楷体" w:hAnsi="楷体" w:cs="楷体"/>
                <w:sz w:val="24"/>
              </w:rPr>
            </w:pPr>
            <w:r>
              <w:rPr>
                <w:rFonts w:ascii="楷体" w:eastAsia="楷体" w:hAnsi="楷体" w:cs="楷体" w:hint="eastAsia"/>
                <w:sz w:val="24"/>
              </w:rPr>
              <w:t>907</w:t>
            </w:r>
          </w:p>
        </w:tc>
      </w:tr>
      <w:tr w:rsidR="00A910F8">
        <w:trPr>
          <w:trHeight w:val="624"/>
          <w:jc w:val="center"/>
        </w:trPr>
        <w:tc>
          <w:tcPr>
            <w:tcW w:w="250" w:type="pct"/>
            <w:tcBorders>
              <w:top w:val="outset" w:sz="6" w:space="0" w:color="000000"/>
              <w:left w:val="single" w:sz="8" w:space="0" w:color="000000"/>
              <w:bottom w:val="outset" w:sz="6" w:space="0" w:color="000000"/>
              <w:right w:val="single" w:sz="8" w:space="0" w:color="000000"/>
            </w:tcBorders>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4</w:t>
            </w:r>
          </w:p>
        </w:tc>
        <w:tc>
          <w:tcPr>
            <w:tcW w:w="1118" w:type="pct"/>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A910F8" w:rsidRDefault="00E07596">
            <w:pPr>
              <w:pStyle w:val="a9"/>
              <w:ind w:firstLineChars="50" w:firstLine="118"/>
              <w:jc w:val="center"/>
              <w:rPr>
                <w:rFonts w:ascii="楷体" w:eastAsia="楷体" w:hAnsi="楷体" w:cs="楷体"/>
                <w:kern w:val="0"/>
                <w:sz w:val="24"/>
              </w:rPr>
            </w:pPr>
            <w:r>
              <w:rPr>
                <w:rFonts w:ascii="楷体" w:eastAsia="楷体" w:hAnsi="楷体" w:cs="楷体" w:hint="eastAsia"/>
                <w:kern w:val="0"/>
                <w:sz w:val="24"/>
              </w:rPr>
              <w:t>海关模拟实训室</w:t>
            </w:r>
          </w:p>
        </w:tc>
        <w:tc>
          <w:tcPr>
            <w:tcW w:w="1022" w:type="pct"/>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A910F8" w:rsidRDefault="00014399">
            <w:pPr>
              <w:pStyle w:val="a9"/>
              <w:jc w:val="center"/>
              <w:rPr>
                <w:rFonts w:ascii="楷体" w:eastAsia="楷体" w:hAnsi="楷体" w:cs="楷体"/>
                <w:sz w:val="24"/>
              </w:rPr>
            </w:pPr>
            <w:hyperlink r:id="rId13" w:tooltip="查看任务详细信息" w:history="1">
              <w:r w:rsidR="00E07596">
                <w:rPr>
                  <w:rFonts w:ascii="楷体" w:eastAsia="楷体" w:hAnsi="楷体" w:cs="楷体" w:hint="eastAsia"/>
                  <w:sz w:val="24"/>
                </w:rPr>
                <w:t>国际贸易情景综合实训</w:t>
              </w:r>
            </w:hyperlink>
          </w:p>
        </w:tc>
        <w:tc>
          <w:tcPr>
            <w:tcW w:w="1701" w:type="pct"/>
            <w:vMerge/>
            <w:tcBorders>
              <w:left w:val="outset" w:sz="6" w:space="0" w:color="000000"/>
              <w:right w:val="single" w:sz="8" w:space="0" w:color="000000"/>
            </w:tcBorders>
            <w:tcMar>
              <w:top w:w="0" w:type="dxa"/>
              <w:left w:w="108" w:type="dxa"/>
              <w:bottom w:w="0" w:type="dxa"/>
              <w:right w:w="108" w:type="dxa"/>
            </w:tcMar>
            <w:vAlign w:val="center"/>
          </w:tcPr>
          <w:p w:rsidR="00A910F8" w:rsidRDefault="00A910F8">
            <w:pPr>
              <w:pStyle w:val="a9"/>
              <w:jc w:val="center"/>
              <w:rPr>
                <w:rFonts w:ascii="楷体" w:eastAsia="楷体" w:hAnsi="楷体" w:cs="楷体"/>
                <w:sz w:val="24"/>
              </w:rPr>
            </w:pPr>
          </w:p>
        </w:tc>
        <w:tc>
          <w:tcPr>
            <w:tcW w:w="909" w:type="pct"/>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A910F8" w:rsidRDefault="00A910F8">
            <w:pPr>
              <w:pStyle w:val="a9"/>
              <w:jc w:val="center"/>
              <w:rPr>
                <w:rFonts w:ascii="楷体" w:eastAsia="楷体" w:hAnsi="楷体" w:cs="楷体"/>
                <w:sz w:val="24"/>
              </w:rPr>
            </w:pPr>
          </w:p>
          <w:p w:rsidR="00A910F8" w:rsidRDefault="00E07596">
            <w:pPr>
              <w:pStyle w:val="a9"/>
              <w:jc w:val="center"/>
              <w:rPr>
                <w:rFonts w:ascii="楷体" w:eastAsia="楷体" w:hAnsi="楷体" w:cs="楷体"/>
                <w:sz w:val="24"/>
              </w:rPr>
            </w:pPr>
            <w:r>
              <w:rPr>
                <w:rFonts w:ascii="楷体" w:eastAsia="楷体" w:hAnsi="楷体" w:cs="楷体" w:hint="eastAsia"/>
                <w:sz w:val="24"/>
              </w:rPr>
              <w:t>216</w:t>
            </w:r>
          </w:p>
        </w:tc>
      </w:tr>
      <w:tr w:rsidR="00A910F8">
        <w:trPr>
          <w:trHeight w:val="705"/>
          <w:jc w:val="center"/>
        </w:trPr>
        <w:tc>
          <w:tcPr>
            <w:tcW w:w="250" w:type="pct"/>
            <w:tcBorders>
              <w:top w:val="outset" w:sz="6" w:space="0" w:color="000000"/>
              <w:left w:val="single" w:sz="8" w:space="0" w:color="000000"/>
              <w:right w:val="single" w:sz="8" w:space="0" w:color="000000"/>
            </w:tcBorders>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5</w:t>
            </w:r>
          </w:p>
        </w:tc>
        <w:tc>
          <w:tcPr>
            <w:tcW w:w="1118" w:type="pct"/>
            <w:tcBorders>
              <w:top w:val="outset" w:sz="6" w:space="0" w:color="000000"/>
              <w:left w:val="single" w:sz="8" w:space="0" w:color="000000"/>
              <w:right w:val="single" w:sz="8" w:space="0" w:color="000000"/>
            </w:tcBorders>
            <w:tcMar>
              <w:top w:w="0" w:type="dxa"/>
              <w:left w:w="108" w:type="dxa"/>
              <w:bottom w:w="0" w:type="dxa"/>
              <w:right w:w="108" w:type="dxa"/>
            </w:tcMar>
            <w:vAlign w:val="center"/>
          </w:tcPr>
          <w:p w:rsidR="00A910F8" w:rsidRDefault="00E07596">
            <w:pPr>
              <w:pStyle w:val="a9"/>
              <w:ind w:firstLineChars="50" w:firstLine="118"/>
              <w:jc w:val="center"/>
              <w:rPr>
                <w:rFonts w:ascii="楷体" w:eastAsia="楷体" w:hAnsi="楷体" w:cs="楷体"/>
                <w:kern w:val="0"/>
                <w:sz w:val="24"/>
              </w:rPr>
            </w:pPr>
            <w:r>
              <w:rPr>
                <w:rFonts w:ascii="楷体" w:eastAsia="楷体" w:hAnsi="楷体" w:cs="楷体" w:hint="eastAsia"/>
                <w:kern w:val="0"/>
                <w:sz w:val="24"/>
              </w:rPr>
              <w:t>国际贸易实验室、信息安全实验室</w:t>
            </w:r>
          </w:p>
        </w:tc>
        <w:tc>
          <w:tcPr>
            <w:tcW w:w="1022" w:type="pct"/>
            <w:tcBorders>
              <w:top w:val="outset" w:sz="6" w:space="0" w:color="000000"/>
              <w:left w:val="outset" w:sz="6" w:space="0" w:color="000000"/>
              <w:right w:val="single" w:sz="8" w:space="0" w:color="000000"/>
            </w:tcBorders>
            <w:tcMar>
              <w:top w:w="0" w:type="dxa"/>
              <w:left w:w="108" w:type="dxa"/>
              <w:bottom w:w="0" w:type="dxa"/>
              <w:right w:w="108" w:type="dxa"/>
            </w:tcMar>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国际贸易实务</w:t>
            </w:r>
          </w:p>
        </w:tc>
        <w:tc>
          <w:tcPr>
            <w:tcW w:w="1701" w:type="pct"/>
            <w:vMerge/>
            <w:tcBorders>
              <w:left w:val="outset" w:sz="6" w:space="0" w:color="000000"/>
              <w:right w:val="single" w:sz="8" w:space="0" w:color="000000"/>
            </w:tcBorders>
            <w:tcMar>
              <w:top w:w="0" w:type="dxa"/>
              <w:left w:w="108" w:type="dxa"/>
              <w:bottom w:w="0" w:type="dxa"/>
              <w:right w:w="108" w:type="dxa"/>
            </w:tcMar>
            <w:vAlign w:val="center"/>
          </w:tcPr>
          <w:p w:rsidR="00A910F8" w:rsidRDefault="00A910F8">
            <w:pPr>
              <w:pStyle w:val="a9"/>
              <w:jc w:val="center"/>
              <w:rPr>
                <w:rFonts w:ascii="楷体" w:eastAsia="楷体" w:hAnsi="楷体" w:cs="楷体"/>
                <w:sz w:val="24"/>
              </w:rPr>
            </w:pPr>
          </w:p>
        </w:tc>
        <w:tc>
          <w:tcPr>
            <w:tcW w:w="909" w:type="pct"/>
            <w:tcBorders>
              <w:top w:val="outset" w:sz="6" w:space="0" w:color="000000"/>
              <w:left w:val="outset" w:sz="6" w:space="0" w:color="000000"/>
              <w:right w:val="single" w:sz="8" w:space="0" w:color="000000"/>
            </w:tcBorders>
            <w:tcMar>
              <w:top w:w="0" w:type="dxa"/>
              <w:left w:w="108" w:type="dxa"/>
              <w:bottom w:w="0" w:type="dxa"/>
              <w:right w:w="108" w:type="dxa"/>
            </w:tcMar>
            <w:vAlign w:val="center"/>
          </w:tcPr>
          <w:p w:rsidR="00A910F8" w:rsidRDefault="00A910F8">
            <w:pPr>
              <w:pStyle w:val="a9"/>
              <w:jc w:val="center"/>
              <w:rPr>
                <w:rFonts w:ascii="楷体" w:eastAsia="楷体" w:hAnsi="楷体" w:cs="楷体"/>
                <w:sz w:val="24"/>
              </w:rPr>
            </w:pPr>
          </w:p>
          <w:p w:rsidR="00A910F8" w:rsidRDefault="00E07596">
            <w:pPr>
              <w:pStyle w:val="a9"/>
              <w:jc w:val="center"/>
              <w:rPr>
                <w:rFonts w:ascii="楷体" w:eastAsia="楷体" w:hAnsi="楷体" w:cs="楷体"/>
                <w:sz w:val="24"/>
              </w:rPr>
            </w:pPr>
            <w:r>
              <w:rPr>
                <w:rFonts w:ascii="楷体" w:eastAsia="楷体" w:hAnsi="楷体" w:cs="楷体" w:hint="eastAsia"/>
                <w:sz w:val="24"/>
              </w:rPr>
              <w:t>150</w:t>
            </w:r>
          </w:p>
        </w:tc>
      </w:tr>
      <w:tr w:rsidR="00A910F8">
        <w:trPr>
          <w:trHeight w:val="717"/>
          <w:jc w:val="center"/>
        </w:trPr>
        <w:tc>
          <w:tcPr>
            <w:tcW w:w="250" w:type="pct"/>
            <w:tcBorders>
              <w:top w:val="outset" w:sz="6" w:space="0" w:color="000000"/>
              <w:left w:val="single" w:sz="8" w:space="0" w:color="000000"/>
              <w:bottom w:val="single" w:sz="8" w:space="0" w:color="000000"/>
              <w:right w:val="single" w:sz="8" w:space="0" w:color="000000"/>
            </w:tcBorders>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6</w:t>
            </w:r>
          </w:p>
        </w:tc>
        <w:tc>
          <w:tcPr>
            <w:tcW w:w="1118" w:type="pct"/>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10F8" w:rsidRDefault="00E07596">
            <w:pPr>
              <w:pStyle w:val="a9"/>
              <w:ind w:firstLineChars="50" w:firstLine="118"/>
              <w:jc w:val="center"/>
              <w:rPr>
                <w:rFonts w:ascii="楷体" w:eastAsia="楷体" w:hAnsi="楷体" w:cs="楷体"/>
                <w:kern w:val="0"/>
                <w:sz w:val="24"/>
              </w:rPr>
            </w:pPr>
            <w:r>
              <w:rPr>
                <w:rFonts w:ascii="楷体" w:eastAsia="楷体" w:hAnsi="楷体" w:cs="楷体" w:hint="eastAsia"/>
                <w:kern w:val="0"/>
                <w:sz w:val="24"/>
              </w:rPr>
              <w:t>创业过程模拟实验室</w:t>
            </w:r>
          </w:p>
        </w:tc>
        <w:tc>
          <w:tcPr>
            <w:tcW w:w="1022" w:type="pct"/>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企业国际化运营实训</w:t>
            </w:r>
          </w:p>
        </w:tc>
        <w:tc>
          <w:tcPr>
            <w:tcW w:w="1701" w:type="pct"/>
            <w:vMerge/>
            <w:tcBorders>
              <w:left w:val="outset" w:sz="6" w:space="0" w:color="000000"/>
              <w:bottom w:val="single" w:sz="8" w:space="0" w:color="000000"/>
              <w:right w:val="single" w:sz="8" w:space="0" w:color="000000"/>
            </w:tcBorders>
            <w:tcMar>
              <w:top w:w="0" w:type="dxa"/>
              <w:left w:w="108" w:type="dxa"/>
              <w:bottom w:w="0" w:type="dxa"/>
              <w:right w:w="108" w:type="dxa"/>
            </w:tcMar>
            <w:vAlign w:val="center"/>
          </w:tcPr>
          <w:p w:rsidR="00A910F8" w:rsidRDefault="00A910F8">
            <w:pPr>
              <w:pStyle w:val="a9"/>
              <w:jc w:val="center"/>
              <w:rPr>
                <w:rFonts w:ascii="楷体" w:eastAsia="楷体" w:hAnsi="楷体" w:cs="楷体"/>
                <w:sz w:val="24"/>
              </w:rPr>
            </w:pPr>
          </w:p>
        </w:tc>
        <w:tc>
          <w:tcPr>
            <w:tcW w:w="909" w:type="pct"/>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A910F8" w:rsidRDefault="00A910F8">
            <w:pPr>
              <w:pStyle w:val="a9"/>
              <w:jc w:val="center"/>
              <w:rPr>
                <w:rFonts w:ascii="楷体" w:eastAsia="楷体" w:hAnsi="楷体" w:cs="楷体"/>
                <w:sz w:val="24"/>
              </w:rPr>
            </w:pPr>
          </w:p>
          <w:p w:rsidR="00A910F8" w:rsidRDefault="00E07596">
            <w:pPr>
              <w:pStyle w:val="a9"/>
              <w:jc w:val="center"/>
              <w:rPr>
                <w:rFonts w:ascii="楷体" w:eastAsia="楷体" w:hAnsi="楷体" w:cs="楷体"/>
                <w:sz w:val="24"/>
              </w:rPr>
            </w:pPr>
            <w:r>
              <w:rPr>
                <w:rFonts w:ascii="楷体" w:eastAsia="楷体" w:hAnsi="楷体" w:cs="楷体" w:hint="eastAsia"/>
                <w:sz w:val="24"/>
              </w:rPr>
              <w:t>363</w:t>
            </w:r>
          </w:p>
        </w:tc>
      </w:tr>
    </w:tbl>
    <w:p w:rsidR="00A910F8" w:rsidRDefault="00E07596">
      <w:pPr>
        <w:spacing w:line="500" w:lineRule="exact"/>
        <w:ind w:firstLineChars="200" w:firstLine="472"/>
        <w:rPr>
          <w:rFonts w:ascii="楷体" w:eastAsia="楷体" w:hAnsi="楷体" w:cs="楷体"/>
          <w:bCs/>
          <w:sz w:val="24"/>
          <w:szCs w:val="24"/>
        </w:rPr>
      </w:pPr>
      <w:r>
        <w:rPr>
          <w:rFonts w:ascii="楷体" w:eastAsia="楷体" w:hAnsi="楷体" w:cs="楷体" w:hint="eastAsia"/>
          <w:bCs/>
          <w:sz w:val="24"/>
          <w:szCs w:val="24"/>
        </w:rPr>
        <w:t>此外，为了顺应新一代信息技术发展与外贸新业态趋势，本专业建立了</w:t>
      </w:r>
      <w:r>
        <w:rPr>
          <w:rFonts w:ascii="楷体" w:eastAsia="楷体" w:hAnsi="楷体" w:cs="楷体" w:hint="eastAsia"/>
          <w:sz w:val="24"/>
          <w:szCs w:val="24"/>
        </w:rPr>
        <w:t>数字经贸</w:t>
      </w:r>
      <w:r>
        <w:rPr>
          <w:rFonts w:ascii="楷体" w:eastAsia="楷体" w:hAnsi="楷体" w:cs="楷体" w:hint="eastAsia"/>
          <w:sz w:val="24"/>
          <w:szCs w:val="24"/>
        </w:rPr>
        <w:lastRenderedPageBreak/>
        <w:t>创新实验项目，本项目的建设将以</w:t>
      </w:r>
      <w:r>
        <w:rPr>
          <w:rFonts w:ascii="楷体" w:eastAsia="楷体" w:hAnsi="楷体" w:cs="楷体" w:hint="eastAsia"/>
          <w:bCs/>
          <w:sz w:val="24"/>
          <w:szCs w:val="24"/>
        </w:rPr>
        <w:t>专业素养、实践能力、创新意识、团队合作、信息应用能力五大人才培养目标为抓手，切实</w:t>
      </w:r>
      <w:r>
        <w:rPr>
          <w:rFonts w:ascii="楷体" w:eastAsia="楷体" w:hAnsi="楷体" w:cs="楷体" w:hint="eastAsia"/>
          <w:sz w:val="24"/>
          <w:szCs w:val="24"/>
        </w:rPr>
        <w:t>提升学生实操技能的熟练程度，促进跨专业、跨学科知识的融会贯通，以此为着力点培养学生创新创业能力。实验课程并非实验项目的简单集合，而是根据学生的学习阶段、知识复合程度、认知规律以及能力培养目标，选取适合实验项目加以组合。目前，数字经贸创新实验中心培育了《国际贸易情景模拟综合仿真实训》《服务外包实训》《进口会展仿真实训》《创业机会识别》《经济管理中的计算机应用》《经济分析仿真实验》等6门虚拟仿真课程，</w:t>
      </w:r>
      <w:r>
        <w:rPr>
          <w:rFonts w:ascii="楷体" w:eastAsia="楷体" w:hAnsi="楷体" w:cs="楷体" w:hint="eastAsia"/>
          <w:bCs/>
          <w:sz w:val="24"/>
          <w:szCs w:val="24"/>
        </w:rPr>
        <w:t>计划建设形成符合新文科专业认证标准、与人才能力培养目标相匹配的创新实验项目体系。</w:t>
      </w:r>
    </w:p>
    <w:p w:rsidR="00A910F8" w:rsidRDefault="00E07596" w:rsidP="00D02887">
      <w:pPr>
        <w:widowControl/>
        <w:spacing w:line="500" w:lineRule="exact"/>
        <w:ind w:firstLineChars="200" w:firstLine="474"/>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表3-4 校外实习基地建设与利用情况</w:t>
      </w:r>
    </w:p>
    <w:tbl>
      <w:tblPr>
        <w:tblW w:w="4831" w:type="pct"/>
        <w:tblLayout w:type="fixed"/>
        <w:tblLook w:val="04A0" w:firstRow="1" w:lastRow="0" w:firstColumn="1" w:lastColumn="0" w:noHBand="0" w:noVBand="1"/>
      </w:tblPr>
      <w:tblGrid>
        <w:gridCol w:w="596"/>
        <w:gridCol w:w="5750"/>
        <w:gridCol w:w="2409"/>
      </w:tblGrid>
      <w:tr w:rsidR="00A910F8">
        <w:trPr>
          <w:trHeight w:val="310"/>
          <w:tblHeader/>
        </w:trPr>
        <w:tc>
          <w:tcPr>
            <w:tcW w:w="340" w:type="pct"/>
            <w:tcBorders>
              <w:top w:val="single" w:sz="4" w:space="0" w:color="auto"/>
              <w:left w:val="single" w:sz="4" w:space="0" w:color="auto"/>
              <w:bottom w:val="single" w:sz="4" w:space="0" w:color="auto"/>
              <w:right w:val="single" w:sz="4" w:space="0" w:color="auto"/>
            </w:tcBorders>
            <w:shd w:val="clear" w:color="000000" w:fill="E7E6E6"/>
            <w:noWrap/>
            <w:vAlign w:val="center"/>
          </w:tcPr>
          <w:p w:rsidR="00A910F8" w:rsidRDefault="00E07596">
            <w:pPr>
              <w:pStyle w:val="a9"/>
              <w:jc w:val="center"/>
              <w:rPr>
                <w:rFonts w:ascii="楷体" w:eastAsia="楷体" w:hAnsi="楷体" w:cs="楷体"/>
                <w:b/>
                <w:bCs/>
                <w:sz w:val="24"/>
              </w:rPr>
            </w:pPr>
            <w:r>
              <w:rPr>
                <w:rFonts w:ascii="楷体" w:eastAsia="楷体" w:hAnsi="楷体" w:cs="楷体" w:hint="eastAsia"/>
                <w:b/>
                <w:bCs/>
                <w:sz w:val="24"/>
              </w:rPr>
              <w:t>序号</w:t>
            </w:r>
          </w:p>
        </w:tc>
        <w:tc>
          <w:tcPr>
            <w:tcW w:w="3284" w:type="pct"/>
            <w:tcBorders>
              <w:top w:val="single" w:sz="4" w:space="0" w:color="auto"/>
              <w:left w:val="nil"/>
              <w:bottom w:val="single" w:sz="4" w:space="0" w:color="auto"/>
              <w:right w:val="single" w:sz="4" w:space="0" w:color="auto"/>
            </w:tcBorders>
            <w:shd w:val="clear" w:color="000000" w:fill="E7E6E6"/>
            <w:noWrap/>
            <w:vAlign w:val="center"/>
          </w:tcPr>
          <w:p w:rsidR="00A910F8" w:rsidRDefault="00E07596">
            <w:pPr>
              <w:pStyle w:val="a9"/>
              <w:jc w:val="center"/>
              <w:rPr>
                <w:rFonts w:ascii="楷体" w:eastAsia="楷体" w:hAnsi="楷体" w:cs="楷体"/>
                <w:b/>
                <w:bCs/>
                <w:sz w:val="24"/>
              </w:rPr>
            </w:pPr>
            <w:bookmarkStart w:id="11" w:name="RANGE!B2:F41"/>
            <w:r>
              <w:rPr>
                <w:rFonts w:ascii="楷体" w:eastAsia="楷体" w:hAnsi="楷体" w:cs="楷体" w:hint="eastAsia"/>
                <w:b/>
                <w:bCs/>
                <w:sz w:val="24"/>
              </w:rPr>
              <w:t>基地名称</w:t>
            </w:r>
            <w:bookmarkEnd w:id="11"/>
          </w:p>
        </w:tc>
        <w:tc>
          <w:tcPr>
            <w:tcW w:w="1376" w:type="pct"/>
            <w:tcBorders>
              <w:top w:val="single" w:sz="4" w:space="0" w:color="auto"/>
              <w:left w:val="nil"/>
              <w:bottom w:val="single" w:sz="4" w:space="0" w:color="auto"/>
              <w:right w:val="single" w:sz="4" w:space="0" w:color="auto"/>
            </w:tcBorders>
            <w:shd w:val="clear" w:color="000000" w:fill="E7E6E6"/>
            <w:noWrap/>
            <w:vAlign w:val="center"/>
          </w:tcPr>
          <w:p w:rsidR="00A910F8" w:rsidRDefault="00E07596">
            <w:pPr>
              <w:pStyle w:val="a9"/>
              <w:jc w:val="center"/>
              <w:rPr>
                <w:rFonts w:ascii="楷体" w:eastAsia="楷体" w:hAnsi="楷体" w:cs="楷体"/>
                <w:b/>
                <w:bCs/>
                <w:sz w:val="24"/>
              </w:rPr>
            </w:pPr>
            <w:r>
              <w:rPr>
                <w:rFonts w:ascii="楷体" w:eastAsia="楷体" w:hAnsi="楷体" w:cs="楷体" w:hint="eastAsia"/>
                <w:b/>
                <w:bCs/>
                <w:sz w:val="24"/>
              </w:rPr>
              <w:t>建立时间</w:t>
            </w:r>
          </w:p>
        </w:tc>
      </w:tr>
      <w:tr w:rsidR="00A910F8">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1</w:t>
            </w:r>
          </w:p>
        </w:tc>
        <w:tc>
          <w:tcPr>
            <w:tcW w:w="3284"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江苏农华智慧农业科技股份有限公司实习实训基地</w:t>
            </w:r>
          </w:p>
        </w:tc>
        <w:tc>
          <w:tcPr>
            <w:tcW w:w="1376"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2019</w:t>
            </w:r>
          </w:p>
        </w:tc>
      </w:tr>
      <w:tr w:rsidR="00A910F8">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w:t>
            </w:r>
          </w:p>
        </w:tc>
        <w:tc>
          <w:tcPr>
            <w:tcW w:w="3284"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上海畅联国际物流股份有限公司实习实训基地</w:t>
            </w:r>
          </w:p>
        </w:tc>
        <w:tc>
          <w:tcPr>
            <w:tcW w:w="1376"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2019</w:t>
            </w:r>
          </w:p>
        </w:tc>
      </w:tr>
      <w:tr w:rsidR="00A910F8">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3</w:t>
            </w:r>
          </w:p>
        </w:tc>
        <w:tc>
          <w:tcPr>
            <w:tcW w:w="3284"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上海发展战略研究所实习实训基地</w:t>
            </w:r>
          </w:p>
        </w:tc>
        <w:tc>
          <w:tcPr>
            <w:tcW w:w="1376"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2019</w:t>
            </w:r>
          </w:p>
        </w:tc>
      </w:tr>
      <w:tr w:rsidR="00A910F8">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4</w:t>
            </w:r>
          </w:p>
        </w:tc>
        <w:tc>
          <w:tcPr>
            <w:tcW w:w="3284"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上海华明高技术（集团）有限公司实习实训基地</w:t>
            </w:r>
          </w:p>
        </w:tc>
        <w:tc>
          <w:tcPr>
            <w:tcW w:w="1376"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2019</w:t>
            </w:r>
          </w:p>
        </w:tc>
      </w:tr>
      <w:tr w:rsidR="00A910F8">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5</w:t>
            </w:r>
          </w:p>
        </w:tc>
        <w:tc>
          <w:tcPr>
            <w:tcW w:w="3284"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和信会计师事务所（特殊普通合伙）上海分所实习实训基地</w:t>
            </w:r>
          </w:p>
        </w:tc>
        <w:tc>
          <w:tcPr>
            <w:tcW w:w="1376"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2019</w:t>
            </w:r>
          </w:p>
        </w:tc>
      </w:tr>
      <w:tr w:rsidR="00A910F8">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6</w:t>
            </w:r>
          </w:p>
        </w:tc>
        <w:tc>
          <w:tcPr>
            <w:tcW w:w="3284"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上海新纳通信技术有限公司实习实训基地</w:t>
            </w:r>
          </w:p>
        </w:tc>
        <w:tc>
          <w:tcPr>
            <w:tcW w:w="1376"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2019</w:t>
            </w:r>
          </w:p>
        </w:tc>
      </w:tr>
      <w:tr w:rsidR="00A910F8">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7</w:t>
            </w:r>
          </w:p>
        </w:tc>
        <w:tc>
          <w:tcPr>
            <w:tcW w:w="3284"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上海生生物流有限公司实习实训基地</w:t>
            </w:r>
          </w:p>
        </w:tc>
        <w:tc>
          <w:tcPr>
            <w:tcW w:w="1376"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2019</w:t>
            </w:r>
          </w:p>
        </w:tc>
      </w:tr>
      <w:tr w:rsidR="00A910F8">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8</w:t>
            </w:r>
          </w:p>
        </w:tc>
        <w:tc>
          <w:tcPr>
            <w:tcW w:w="3284"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中国邮政储蓄银行上海闵行区支行实习实训基地</w:t>
            </w:r>
          </w:p>
        </w:tc>
        <w:tc>
          <w:tcPr>
            <w:tcW w:w="1376"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2019</w:t>
            </w:r>
          </w:p>
        </w:tc>
      </w:tr>
      <w:tr w:rsidR="00A910F8">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9</w:t>
            </w:r>
          </w:p>
        </w:tc>
        <w:tc>
          <w:tcPr>
            <w:tcW w:w="3284"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中国工商银行股份有限公司上海市浦东开发区支行实习实训基地</w:t>
            </w:r>
          </w:p>
        </w:tc>
        <w:tc>
          <w:tcPr>
            <w:tcW w:w="1376"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2020</w:t>
            </w:r>
          </w:p>
        </w:tc>
      </w:tr>
      <w:tr w:rsidR="00A910F8">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10</w:t>
            </w:r>
          </w:p>
        </w:tc>
        <w:tc>
          <w:tcPr>
            <w:tcW w:w="3284"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上海市商业保理同业公会实习实训基地</w:t>
            </w:r>
          </w:p>
        </w:tc>
        <w:tc>
          <w:tcPr>
            <w:tcW w:w="1376"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2020</w:t>
            </w:r>
          </w:p>
        </w:tc>
      </w:tr>
      <w:tr w:rsidR="00A910F8">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11</w:t>
            </w:r>
          </w:p>
        </w:tc>
        <w:tc>
          <w:tcPr>
            <w:tcW w:w="3284"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上海融经互联网科技发展有限公司(盘古创业)实习实训基地</w:t>
            </w:r>
          </w:p>
        </w:tc>
        <w:tc>
          <w:tcPr>
            <w:tcW w:w="1376" w:type="pct"/>
            <w:tcBorders>
              <w:top w:val="nil"/>
              <w:left w:val="nil"/>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2020</w:t>
            </w:r>
          </w:p>
        </w:tc>
      </w:tr>
      <w:tr w:rsidR="00A910F8">
        <w:trPr>
          <w:trHeight w:val="6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12</w:t>
            </w:r>
          </w:p>
        </w:tc>
        <w:tc>
          <w:tcPr>
            <w:tcW w:w="3284"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华士磐典科技（上海）有限公司产学研合作基地</w:t>
            </w:r>
          </w:p>
        </w:tc>
        <w:tc>
          <w:tcPr>
            <w:tcW w:w="137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2021</w:t>
            </w:r>
          </w:p>
        </w:tc>
      </w:tr>
      <w:tr w:rsidR="00A910F8">
        <w:trPr>
          <w:trHeight w:val="6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13</w:t>
            </w:r>
          </w:p>
        </w:tc>
        <w:tc>
          <w:tcPr>
            <w:tcW w:w="3284"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江苏银行股份有限公司上海分行产学研合作基地</w:t>
            </w:r>
          </w:p>
        </w:tc>
        <w:tc>
          <w:tcPr>
            <w:tcW w:w="137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2021</w:t>
            </w:r>
          </w:p>
        </w:tc>
      </w:tr>
      <w:tr w:rsidR="00A910F8">
        <w:trPr>
          <w:trHeight w:val="6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lastRenderedPageBreak/>
              <w:t>14</w:t>
            </w:r>
          </w:p>
        </w:tc>
        <w:tc>
          <w:tcPr>
            <w:tcW w:w="3284"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上海中产网络教育科技有限公司产学研合作基地</w:t>
            </w:r>
          </w:p>
        </w:tc>
        <w:tc>
          <w:tcPr>
            <w:tcW w:w="137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2021</w:t>
            </w:r>
          </w:p>
        </w:tc>
      </w:tr>
      <w:tr w:rsidR="00A910F8">
        <w:trPr>
          <w:trHeight w:val="6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15</w:t>
            </w:r>
          </w:p>
        </w:tc>
        <w:tc>
          <w:tcPr>
            <w:tcW w:w="3284"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上海亚东国际货运有限公司产学研合作基地</w:t>
            </w:r>
          </w:p>
        </w:tc>
        <w:tc>
          <w:tcPr>
            <w:tcW w:w="137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2021</w:t>
            </w:r>
          </w:p>
        </w:tc>
      </w:tr>
      <w:tr w:rsidR="00A910F8">
        <w:trPr>
          <w:trHeight w:val="6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16</w:t>
            </w:r>
          </w:p>
        </w:tc>
        <w:tc>
          <w:tcPr>
            <w:tcW w:w="3284"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上海六顿机电设备有限公司产学研合作基地</w:t>
            </w:r>
          </w:p>
        </w:tc>
        <w:tc>
          <w:tcPr>
            <w:tcW w:w="137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9"/>
              <w:jc w:val="center"/>
              <w:rPr>
                <w:rFonts w:ascii="楷体" w:eastAsia="楷体" w:hAnsi="楷体" w:cs="楷体"/>
                <w:sz w:val="24"/>
              </w:rPr>
            </w:pPr>
            <w:r>
              <w:rPr>
                <w:rFonts w:ascii="楷体" w:eastAsia="楷体" w:hAnsi="楷体" w:cs="楷体" w:hint="eastAsia"/>
                <w:sz w:val="24"/>
              </w:rPr>
              <w:t>2021</w:t>
            </w:r>
          </w:p>
        </w:tc>
      </w:tr>
    </w:tbl>
    <w:p w:rsidR="00A910F8" w:rsidRDefault="00E07596" w:rsidP="00D02887">
      <w:pPr>
        <w:widowControl/>
        <w:spacing w:line="500" w:lineRule="exact"/>
        <w:ind w:firstLineChars="200" w:firstLine="474"/>
        <w:jc w:val="left"/>
        <w:rPr>
          <w:rFonts w:ascii="楷体" w:eastAsia="楷体" w:hAnsi="楷体" w:cs="楷体"/>
          <w:b/>
          <w:bCs/>
          <w:color w:val="000000" w:themeColor="text1"/>
          <w:kern w:val="0"/>
          <w:sz w:val="24"/>
          <w:szCs w:val="24"/>
        </w:rPr>
      </w:pPr>
      <w:r>
        <w:rPr>
          <w:rFonts w:ascii="楷体" w:eastAsia="楷体" w:hAnsi="楷体" w:cs="楷体" w:hint="eastAsia"/>
          <w:b/>
          <w:bCs/>
          <w:color w:val="000000" w:themeColor="text1"/>
          <w:kern w:val="0"/>
          <w:sz w:val="24"/>
          <w:szCs w:val="24"/>
        </w:rPr>
        <w:t>4.学年度学生毕业论文情况（选题、指导、答辩、论文质量等）</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sz w:val="24"/>
          <w:szCs w:val="24"/>
        </w:rPr>
        <w:t>毕业论文（设计）写作是培养学生综合运用所学国际经济与贸易专业知识解决问题能力的重要环节。为保障本科毕业论文的质量，对毕业论文（设计）写作环节做好监控，依据学校和学院本科生毕业论文（设计）工作管理有关规定，经贸学院对国际经济与贸易专业毕业论文题目组织教学委员会审核，由学院组织学生开题、教师指导、学生毕业论文写作、答辩、成绩评定和相关资料存档保管等工作。同时，为加强国际经济与贸易专业本科生学术道德建设，规范本科生学术行为，对全体国际经济与贸易专业的毕业论文采用“论文抄袭检测系统”进行本科毕业论文(设计)的检测工作，使得毕业论文（设计）的质量得到有效保障。</w:t>
      </w:r>
    </w:p>
    <w:p w:rsidR="00A910F8" w:rsidRDefault="00E07596">
      <w:pPr>
        <w:pStyle w:val="2"/>
        <w:spacing w:before="20" w:after="20" w:line="240" w:lineRule="auto"/>
        <w:rPr>
          <w:rFonts w:ascii="楷体" w:eastAsia="楷体" w:hAnsi="楷体" w:cs="楷体"/>
          <w:sz w:val="24"/>
          <w:szCs w:val="24"/>
        </w:rPr>
      </w:pPr>
      <w:bookmarkStart w:id="12" w:name="_Toc4339"/>
      <w:r>
        <w:rPr>
          <w:rFonts w:ascii="楷体" w:eastAsia="楷体" w:hAnsi="楷体" w:cs="楷体" w:hint="eastAsia"/>
          <w:sz w:val="24"/>
          <w:szCs w:val="24"/>
        </w:rPr>
        <w:t>（三）教学改革</w:t>
      </w:r>
      <w:bookmarkEnd w:id="12"/>
    </w:p>
    <w:p w:rsidR="00A910F8" w:rsidRDefault="00E07596" w:rsidP="00D02887">
      <w:pPr>
        <w:widowControl/>
        <w:spacing w:line="500" w:lineRule="exact"/>
        <w:ind w:firstLineChars="200" w:firstLine="474"/>
        <w:jc w:val="left"/>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1.人才培养方案的修订</w:t>
      </w:r>
    </w:p>
    <w:p w:rsidR="00A910F8" w:rsidRDefault="00E07596">
      <w:pPr>
        <w:widowControl/>
        <w:spacing w:line="500" w:lineRule="exact"/>
        <w:ind w:firstLineChars="200" w:firstLine="472"/>
        <w:rPr>
          <w:rFonts w:ascii="楷体" w:eastAsia="楷体" w:hAnsi="楷体" w:cs="楷体"/>
          <w:kern w:val="0"/>
          <w:sz w:val="24"/>
          <w:szCs w:val="24"/>
        </w:rPr>
      </w:pPr>
      <w:r>
        <w:rPr>
          <w:rFonts w:ascii="楷体" w:eastAsia="楷体" w:hAnsi="楷体" w:cs="楷体" w:hint="eastAsia"/>
          <w:kern w:val="0"/>
          <w:sz w:val="24"/>
          <w:szCs w:val="24"/>
        </w:rPr>
        <w:t>2021年，学校启动新一轮培养目标和培养计划修订工作，形成2021级培养计划。修订过程、参与人员及主要执行人员相关情况简述见表3-5。</w:t>
      </w:r>
    </w:p>
    <w:p w:rsidR="00A910F8" w:rsidRDefault="00E07596">
      <w:pPr>
        <w:widowControl/>
        <w:adjustRightInd w:val="0"/>
        <w:snapToGrid w:val="0"/>
        <w:spacing w:line="500" w:lineRule="exact"/>
        <w:ind w:firstLine="200"/>
        <w:jc w:val="center"/>
        <w:rPr>
          <w:rFonts w:ascii="楷体" w:eastAsia="楷体" w:hAnsi="楷体" w:cs="楷体"/>
          <w:b/>
          <w:bCs/>
          <w:sz w:val="24"/>
          <w:szCs w:val="24"/>
        </w:rPr>
      </w:pPr>
      <w:r>
        <w:rPr>
          <w:rFonts w:ascii="楷体" w:eastAsia="楷体" w:hAnsi="楷体" w:cs="楷体" w:hint="eastAsia"/>
          <w:b/>
          <w:bCs/>
          <w:sz w:val="24"/>
          <w:szCs w:val="24"/>
        </w:rPr>
        <w:t>表3-5培养目标最近修订工作情况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4581"/>
        <w:gridCol w:w="1761"/>
        <w:gridCol w:w="1174"/>
      </w:tblGrid>
      <w:tr w:rsidR="00A910F8">
        <w:trPr>
          <w:trHeight w:hRule="exact" w:val="397"/>
          <w:tblHeader/>
          <w:jc w:val="center"/>
        </w:trPr>
        <w:tc>
          <w:tcPr>
            <w:tcW w:w="852" w:type="pct"/>
            <w:shd w:val="clear" w:color="auto" w:fill="E8E6E6"/>
            <w:vAlign w:val="center"/>
          </w:tcPr>
          <w:p w:rsidR="00A910F8" w:rsidRDefault="00E07596">
            <w:pPr>
              <w:adjustRightInd w:val="0"/>
              <w:snapToGrid w:val="0"/>
              <w:jc w:val="center"/>
              <w:rPr>
                <w:rFonts w:ascii="楷体" w:eastAsia="楷体" w:hAnsi="楷体" w:cs="楷体"/>
                <w:b/>
                <w:bCs/>
                <w:sz w:val="24"/>
                <w:szCs w:val="24"/>
              </w:rPr>
            </w:pPr>
            <w:r>
              <w:rPr>
                <w:rFonts w:ascii="楷体" w:eastAsia="楷体" w:hAnsi="楷体" w:cs="楷体" w:hint="eastAsia"/>
                <w:b/>
                <w:bCs/>
                <w:sz w:val="24"/>
                <w:szCs w:val="24"/>
              </w:rPr>
              <w:t>时间安排</w:t>
            </w:r>
          </w:p>
        </w:tc>
        <w:tc>
          <w:tcPr>
            <w:tcW w:w="2528" w:type="pct"/>
            <w:shd w:val="clear" w:color="auto" w:fill="E8E6E6"/>
            <w:vAlign w:val="center"/>
          </w:tcPr>
          <w:p w:rsidR="00A910F8" w:rsidRDefault="00E07596">
            <w:pPr>
              <w:adjustRightInd w:val="0"/>
              <w:snapToGrid w:val="0"/>
              <w:jc w:val="center"/>
              <w:rPr>
                <w:rFonts w:ascii="楷体" w:eastAsia="楷体" w:hAnsi="楷体" w:cs="楷体"/>
                <w:b/>
                <w:bCs/>
                <w:sz w:val="24"/>
                <w:szCs w:val="24"/>
              </w:rPr>
            </w:pPr>
            <w:r>
              <w:rPr>
                <w:rFonts w:ascii="楷体" w:eastAsia="楷体" w:hAnsi="楷体" w:cs="楷体" w:hint="eastAsia"/>
                <w:b/>
                <w:bCs/>
                <w:sz w:val="24"/>
                <w:szCs w:val="24"/>
              </w:rPr>
              <w:t>工作内容</w:t>
            </w:r>
          </w:p>
        </w:tc>
        <w:tc>
          <w:tcPr>
            <w:tcW w:w="972" w:type="pct"/>
            <w:shd w:val="clear" w:color="auto" w:fill="E8E6E6"/>
            <w:vAlign w:val="center"/>
          </w:tcPr>
          <w:p w:rsidR="00A910F8" w:rsidRDefault="00E07596">
            <w:pPr>
              <w:adjustRightInd w:val="0"/>
              <w:snapToGrid w:val="0"/>
              <w:jc w:val="center"/>
              <w:rPr>
                <w:rFonts w:ascii="楷体" w:eastAsia="楷体" w:hAnsi="楷体" w:cs="楷体"/>
                <w:b/>
                <w:bCs/>
                <w:sz w:val="24"/>
                <w:szCs w:val="24"/>
              </w:rPr>
            </w:pPr>
            <w:r>
              <w:rPr>
                <w:rFonts w:ascii="楷体" w:eastAsia="楷体" w:hAnsi="楷体" w:cs="楷体" w:hint="eastAsia"/>
                <w:b/>
                <w:bCs/>
                <w:sz w:val="24"/>
                <w:szCs w:val="24"/>
              </w:rPr>
              <w:t>参与人员</w:t>
            </w:r>
          </w:p>
        </w:tc>
        <w:tc>
          <w:tcPr>
            <w:tcW w:w="648" w:type="pct"/>
            <w:shd w:val="clear" w:color="auto" w:fill="E8E6E6"/>
            <w:vAlign w:val="center"/>
          </w:tcPr>
          <w:p w:rsidR="00A910F8" w:rsidRDefault="00E07596">
            <w:pPr>
              <w:adjustRightInd w:val="0"/>
              <w:snapToGrid w:val="0"/>
              <w:jc w:val="center"/>
              <w:rPr>
                <w:rFonts w:ascii="楷体" w:eastAsia="楷体" w:hAnsi="楷体" w:cs="楷体"/>
                <w:b/>
                <w:bCs/>
                <w:sz w:val="24"/>
                <w:szCs w:val="24"/>
              </w:rPr>
            </w:pPr>
            <w:r>
              <w:rPr>
                <w:rFonts w:ascii="楷体" w:eastAsia="楷体" w:hAnsi="楷体" w:cs="楷体" w:hint="eastAsia"/>
                <w:b/>
                <w:bCs/>
                <w:sz w:val="24"/>
                <w:szCs w:val="24"/>
              </w:rPr>
              <w:t>执行人</w:t>
            </w:r>
          </w:p>
        </w:tc>
      </w:tr>
      <w:tr w:rsidR="00A910F8">
        <w:trPr>
          <w:jc w:val="center"/>
        </w:trPr>
        <w:tc>
          <w:tcPr>
            <w:tcW w:w="852"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2021年1-5月</w:t>
            </w:r>
          </w:p>
        </w:tc>
        <w:tc>
          <w:tcPr>
            <w:tcW w:w="2528"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培养计划修订工作的前期调研工作</w:t>
            </w:r>
          </w:p>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（1）进行全国高校同类专业培养计划的调研；</w:t>
            </w:r>
          </w:p>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（2）进行全系教师课程质量调查及分析</w:t>
            </w:r>
          </w:p>
        </w:tc>
        <w:tc>
          <w:tcPr>
            <w:tcW w:w="972"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院领导、专业负责人、专业课任课教师、督导等</w:t>
            </w:r>
          </w:p>
        </w:tc>
        <w:tc>
          <w:tcPr>
            <w:tcW w:w="648"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学院教学副院长、专业主任</w:t>
            </w:r>
          </w:p>
        </w:tc>
      </w:tr>
      <w:tr w:rsidR="00A910F8">
        <w:trPr>
          <w:jc w:val="center"/>
        </w:trPr>
        <w:tc>
          <w:tcPr>
            <w:tcW w:w="852"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2021年6月</w:t>
            </w:r>
          </w:p>
        </w:tc>
        <w:tc>
          <w:tcPr>
            <w:tcW w:w="2528"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培养目标修订工作的前期调研工作</w:t>
            </w:r>
          </w:p>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（1）国内外相近专业的人才培养目标；</w:t>
            </w:r>
          </w:p>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（2）分析历年用人单位反馈意见调查表、毕业生就业满意度调查表以及在校生个人发展和择业调查表；</w:t>
            </w:r>
          </w:p>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（3）走访调研用人单位；</w:t>
            </w:r>
          </w:p>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lastRenderedPageBreak/>
              <w:t>（4）召开专业方向教师培养方案修订研讨会。</w:t>
            </w:r>
          </w:p>
        </w:tc>
        <w:tc>
          <w:tcPr>
            <w:tcW w:w="972"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lastRenderedPageBreak/>
              <w:t>院系领导、专业负责人、专业课任课教师等</w:t>
            </w:r>
          </w:p>
        </w:tc>
        <w:tc>
          <w:tcPr>
            <w:tcW w:w="648"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学院教学副院长、专业主任</w:t>
            </w:r>
          </w:p>
        </w:tc>
      </w:tr>
      <w:tr w:rsidR="00A910F8">
        <w:trPr>
          <w:jc w:val="center"/>
        </w:trPr>
        <w:tc>
          <w:tcPr>
            <w:tcW w:w="852"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lastRenderedPageBreak/>
              <w:t>2021年6-8月</w:t>
            </w:r>
          </w:p>
        </w:tc>
        <w:tc>
          <w:tcPr>
            <w:tcW w:w="2528"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（1）邀请校外同行、企业专家、行业专家参与培养计划研讨；</w:t>
            </w:r>
          </w:p>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（2）召集毕业生代表学习和了解新版培养计划，收集学生反馈信息。</w:t>
            </w:r>
          </w:p>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（3）进一步完善培养计划；</w:t>
            </w:r>
          </w:p>
          <w:p w:rsidR="00A910F8" w:rsidRDefault="00A910F8">
            <w:pPr>
              <w:adjustRightInd w:val="0"/>
              <w:snapToGrid w:val="0"/>
              <w:jc w:val="left"/>
              <w:rPr>
                <w:rFonts w:ascii="楷体" w:eastAsia="楷体" w:hAnsi="楷体" w:cs="楷体"/>
                <w:sz w:val="24"/>
                <w:szCs w:val="24"/>
              </w:rPr>
            </w:pPr>
          </w:p>
        </w:tc>
        <w:tc>
          <w:tcPr>
            <w:tcW w:w="972"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学院领导、专业负责人、专业主任、校外同行、企业专家、行业专家、毕业生</w:t>
            </w:r>
          </w:p>
        </w:tc>
        <w:tc>
          <w:tcPr>
            <w:tcW w:w="648"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学院教学副院长、专业主任</w:t>
            </w:r>
          </w:p>
        </w:tc>
      </w:tr>
      <w:tr w:rsidR="00A910F8">
        <w:trPr>
          <w:jc w:val="center"/>
        </w:trPr>
        <w:tc>
          <w:tcPr>
            <w:tcW w:w="852"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2021年8月</w:t>
            </w:r>
          </w:p>
        </w:tc>
        <w:tc>
          <w:tcPr>
            <w:tcW w:w="2528"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（1）完成培养计划的修订；</w:t>
            </w:r>
          </w:p>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（2）上报学校。</w:t>
            </w:r>
          </w:p>
        </w:tc>
        <w:tc>
          <w:tcPr>
            <w:tcW w:w="972"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教务处领导、学院教学负责人</w:t>
            </w:r>
          </w:p>
        </w:tc>
        <w:tc>
          <w:tcPr>
            <w:tcW w:w="648"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学院教学副院长、专业主任</w:t>
            </w:r>
          </w:p>
        </w:tc>
      </w:tr>
      <w:tr w:rsidR="00A910F8">
        <w:trPr>
          <w:jc w:val="center"/>
        </w:trPr>
        <w:tc>
          <w:tcPr>
            <w:tcW w:w="852"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2021年9月</w:t>
            </w:r>
          </w:p>
        </w:tc>
        <w:tc>
          <w:tcPr>
            <w:tcW w:w="2528"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根据反馈意见、本科专业大类招生和最新的认证要求，补充修改。</w:t>
            </w:r>
          </w:p>
        </w:tc>
        <w:tc>
          <w:tcPr>
            <w:tcW w:w="972"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教务处领导、学院教学负责人、专业主任、专业负责人、任课教师</w:t>
            </w:r>
          </w:p>
        </w:tc>
        <w:tc>
          <w:tcPr>
            <w:tcW w:w="648"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学院教学副院长、专业主任</w:t>
            </w:r>
          </w:p>
        </w:tc>
      </w:tr>
      <w:tr w:rsidR="00A910F8">
        <w:trPr>
          <w:trHeight w:val="550"/>
          <w:jc w:val="center"/>
        </w:trPr>
        <w:tc>
          <w:tcPr>
            <w:tcW w:w="852"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2021年9月</w:t>
            </w:r>
          </w:p>
        </w:tc>
        <w:tc>
          <w:tcPr>
            <w:tcW w:w="2528"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完善培养目标和培养计划</w:t>
            </w:r>
          </w:p>
        </w:tc>
        <w:tc>
          <w:tcPr>
            <w:tcW w:w="972"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学院教学副院长、专业主任</w:t>
            </w:r>
          </w:p>
        </w:tc>
        <w:tc>
          <w:tcPr>
            <w:tcW w:w="648" w:type="pct"/>
            <w:vAlign w:val="center"/>
          </w:tcPr>
          <w:p w:rsidR="00A910F8" w:rsidRDefault="00E07596">
            <w:pPr>
              <w:adjustRightInd w:val="0"/>
              <w:snapToGrid w:val="0"/>
              <w:jc w:val="left"/>
              <w:rPr>
                <w:rFonts w:ascii="楷体" w:eastAsia="楷体" w:hAnsi="楷体" w:cs="楷体"/>
                <w:sz w:val="24"/>
                <w:szCs w:val="24"/>
              </w:rPr>
            </w:pPr>
            <w:r>
              <w:rPr>
                <w:rFonts w:ascii="楷体" w:eastAsia="楷体" w:hAnsi="楷体" w:cs="楷体" w:hint="eastAsia"/>
                <w:sz w:val="24"/>
                <w:szCs w:val="24"/>
              </w:rPr>
              <w:t>学院教学副院长、专业主任</w:t>
            </w:r>
          </w:p>
        </w:tc>
      </w:tr>
    </w:tbl>
    <w:p w:rsidR="00A910F8" w:rsidRDefault="00E07596">
      <w:pPr>
        <w:pStyle w:val="aa"/>
        <w:adjustRightInd w:val="0"/>
        <w:snapToGrid w:val="0"/>
        <w:spacing w:line="500" w:lineRule="exact"/>
        <w:ind w:firstLine="474"/>
        <w:rPr>
          <w:rFonts w:ascii="楷体" w:eastAsia="楷体" w:hAnsi="楷体" w:cs="楷体"/>
          <w:b/>
          <w:bCs/>
          <w:szCs w:val="24"/>
          <w:lang w:eastAsia="zh-CN"/>
        </w:rPr>
      </w:pPr>
      <w:r>
        <w:rPr>
          <w:rFonts w:ascii="楷体" w:eastAsia="楷体" w:hAnsi="楷体" w:cs="楷体" w:hint="eastAsia"/>
          <w:b/>
          <w:bCs/>
          <w:szCs w:val="24"/>
          <w:lang w:eastAsia="zh-CN"/>
        </w:rPr>
        <w:t>2.推动专业课程思政建设工作全面开展</w:t>
      </w:r>
    </w:p>
    <w:p w:rsidR="00A910F8" w:rsidRDefault="00E07596">
      <w:pPr>
        <w:widowControl/>
        <w:adjustRightInd w:val="0"/>
        <w:snapToGrid w:val="0"/>
        <w:spacing w:line="360" w:lineRule="auto"/>
        <w:ind w:firstLineChars="200" w:firstLine="472"/>
        <w:contextualSpacing/>
        <w:rPr>
          <w:rFonts w:ascii="楷体" w:eastAsia="楷体" w:hAnsi="楷体" w:cs="楷体"/>
          <w:kern w:val="0"/>
          <w:sz w:val="24"/>
          <w:szCs w:val="24"/>
        </w:rPr>
      </w:pPr>
      <w:r>
        <w:rPr>
          <w:rFonts w:ascii="楷体" w:eastAsia="楷体" w:hAnsi="楷体" w:cs="楷体" w:hint="eastAsia"/>
          <w:kern w:val="0"/>
          <w:sz w:val="24"/>
          <w:szCs w:val="24"/>
        </w:rPr>
        <w:t>根据习近平主席关于教育要加强思政教育、强化人格教育的思想，在学校工作的指导下，学院积极夯实人才培养单位的政治责任，强化各专业对课程思政建设工作的统筹领导。在学院的领导下，国际经济与贸易系积极参与建设，充分挖掘各门课程教学内容中蕴含的思政元素，认真推进各项课程思政建设项目及思政示范课堂，组织各类相关系部会议，在会议探讨和交流课程思政的开展方式以及评价体系，适时举办教学工作坊，为持续推动课程思政建设创造良好氛围。另一方面，坚持推动专业课教师和思政课教师“人员双向流动、内容双向供给”，促进课程思政与思政课程融合发展。适时推出专家论坛和教学工作坊，利用政治经济学相关教师的学科优势帮助专业课教师找准可融入思政元素的教学内容，实现专业课教学与思政课教学同向同行，协同育人。</w:t>
      </w:r>
    </w:p>
    <w:p w:rsidR="00A910F8" w:rsidRDefault="00E07596">
      <w:pPr>
        <w:widowControl/>
        <w:adjustRightInd w:val="0"/>
        <w:snapToGrid w:val="0"/>
        <w:spacing w:line="360" w:lineRule="auto"/>
        <w:ind w:firstLineChars="200" w:firstLine="472"/>
        <w:contextualSpacing/>
        <w:rPr>
          <w:rFonts w:ascii="楷体" w:eastAsia="楷体" w:hAnsi="楷体" w:cs="楷体"/>
          <w:kern w:val="0"/>
          <w:sz w:val="24"/>
          <w:szCs w:val="24"/>
        </w:rPr>
      </w:pPr>
      <w:r>
        <w:rPr>
          <w:rFonts w:ascii="楷体" w:eastAsia="楷体" w:hAnsi="楷体" w:cs="楷体" w:hint="eastAsia"/>
          <w:kern w:val="0"/>
          <w:sz w:val="24"/>
          <w:szCs w:val="24"/>
        </w:rPr>
        <w:t>截至6月，系部教师分别参与了多个级别的十多场课程思政专家讲坛、教学工作坊及课程思政建设研讨会，系部教师积极参加，并在实践中不断消化吸收，已经实现了全部课程思政化的初步建设，各门课程中思政元素覆盖率达到100%，成效显著。</w:t>
      </w:r>
    </w:p>
    <w:p w:rsidR="00A910F8" w:rsidRDefault="00E07596" w:rsidP="00D02887">
      <w:pPr>
        <w:widowControl/>
        <w:adjustRightInd w:val="0"/>
        <w:snapToGrid w:val="0"/>
        <w:spacing w:line="360" w:lineRule="auto"/>
        <w:ind w:firstLineChars="200" w:firstLine="474"/>
        <w:contextualSpacing/>
        <w:rPr>
          <w:rFonts w:ascii="楷体" w:eastAsia="楷体" w:hAnsi="楷体" w:cs="楷体"/>
          <w:b/>
          <w:bCs/>
          <w:kern w:val="0"/>
          <w:sz w:val="24"/>
          <w:szCs w:val="24"/>
        </w:rPr>
      </w:pPr>
      <w:r>
        <w:rPr>
          <w:rFonts w:ascii="楷体" w:eastAsia="楷体" w:hAnsi="楷体" w:cs="楷体" w:hint="eastAsia"/>
          <w:b/>
          <w:bCs/>
          <w:kern w:val="0"/>
          <w:sz w:val="24"/>
          <w:szCs w:val="24"/>
        </w:rPr>
        <w:lastRenderedPageBreak/>
        <w:t>3.推进信息技术与课堂教学的深度融合</w:t>
      </w:r>
    </w:p>
    <w:p w:rsidR="00A910F8" w:rsidRDefault="00E07596">
      <w:pPr>
        <w:widowControl/>
        <w:adjustRightInd w:val="0"/>
        <w:snapToGrid w:val="0"/>
        <w:spacing w:line="360" w:lineRule="auto"/>
        <w:ind w:firstLineChars="200" w:firstLine="472"/>
        <w:contextualSpacing/>
        <w:rPr>
          <w:rFonts w:ascii="楷体" w:eastAsia="楷体" w:hAnsi="楷体" w:cs="楷体"/>
          <w:kern w:val="0"/>
          <w:sz w:val="24"/>
          <w:szCs w:val="24"/>
        </w:rPr>
      </w:pPr>
      <w:r>
        <w:rPr>
          <w:rFonts w:ascii="楷体" w:eastAsia="楷体" w:hAnsi="楷体" w:cs="楷体" w:hint="eastAsia"/>
          <w:kern w:val="0"/>
          <w:sz w:val="24"/>
          <w:szCs w:val="24"/>
        </w:rPr>
        <w:t>逐步引导教师通过课程中心平台开展辅助教学活动，以引导教师教学方式的改革和学生学习方式的改变，促进学生开展自主性、实践性、探索性学习，推进信息技术与教育教学的深度融合。一是组织教师参加研讨式教学专题培训，进行翻转课堂等新型教学模式的演练。二是鼓励教师运用慕课、翻转课程等教学模式探索课上——课下学习互动新模式。三是鼓励教师充分运用网上课程中心系统，进行信息化的教学模式创新实践。信息技术与课堂教学的结合重在增强师生互动，让学生对课堂内容理解更深刻，突破课堂教学的时间空间限制，进一步营造鼓励创新、自主学习、自由探索的学习氛围。</w:t>
      </w:r>
    </w:p>
    <w:p w:rsidR="00A910F8" w:rsidRDefault="00E07596" w:rsidP="00D02887">
      <w:pPr>
        <w:widowControl/>
        <w:adjustRightInd w:val="0"/>
        <w:snapToGrid w:val="0"/>
        <w:spacing w:line="360" w:lineRule="auto"/>
        <w:ind w:firstLineChars="200" w:firstLine="474"/>
        <w:rPr>
          <w:rFonts w:ascii="楷体" w:eastAsia="楷体" w:hAnsi="楷体" w:cs="楷体"/>
          <w:b/>
          <w:bCs/>
          <w:kern w:val="0"/>
          <w:sz w:val="24"/>
          <w:szCs w:val="24"/>
        </w:rPr>
      </w:pPr>
      <w:r>
        <w:rPr>
          <w:rFonts w:ascii="楷体" w:eastAsia="楷体" w:hAnsi="楷体" w:cs="楷体" w:hint="eastAsia"/>
          <w:b/>
          <w:bCs/>
          <w:kern w:val="0"/>
          <w:sz w:val="24"/>
          <w:szCs w:val="24"/>
        </w:rPr>
        <w:t>4．优化课程体系，加强各类课程的建设</w:t>
      </w:r>
    </w:p>
    <w:p w:rsidR="00A910F8" w:rsidRDefault="00E07596">
      <w:pPr>
        <w:widowControl/>
        <w:adjustRightInd w:val="0"/>
        <w:snapToGrid w:val="0"/>
        <w:spacing w:line="360" w:lineRule="auto"/>
        <w:ind w:firstLineChars="200" w:firstLine="472"/>
        <w:rPr>
          <w:rFonts w:ascii="楷体" w:eastAsia="楷体" w:hAnsi="楷体" w:cs="楷体"/>
          <w:kern w:val="0"/>
          <w:sz w:val="24"/>
          <w:szCs w:val="24"/>
        </w:rPr>
      </w:pPr>
      <w:r>
        <w:rPr>
          <w:rFonts w:ascii="楷体" w:eastAsia="楷体" w:hAnsi="楷体" w:cs="楷体" w:hint="eastAsia"/>
          <w:kern w:val="0"/>
          <w:sz w:val="24"/>
          <w:szCs w:val="24"/>
        </w:rPr>
        <w:t>对标国家级和上海市级课程“双万计划”，整合资源，以全英语课程、教学案例、在线课程等项目建设为基础，打造线下、线上、线上线下混合式教学模式，加强课程资源建设。</w:t>
      </w:r>
    </w:p>
    <w:p w:rsidR="00A910F8" w:rsidRDefault="00E07596">
      <w:pPr>
        <w:pStyle w:val="1"/>
        <w:spacing w:before="20" w:after="20" w:line="360" w:lineRule="auto"/>
        <w:rPr>
          <w:rFonts w:ascii="楷体" w:eastAsia="楷体" w:hAnsi="楷体" w:cs="楷体"/>
          <w:sz w:val="24"/>
          <w:szCs w:val="24"/>
        </w:rPr>
      </w:pPr>
      <w:bookmarkStart w:id="13" w:name="_Toc17714"/>
      <w:r>
        <w:rPr>
          <w:rFonts w:ascii="楷体" w:eastAsia="楷体" w:hAnsi="楷体" w:cs="楷体" w:hint="eastAsia"/>
          <w:sz w:val="24"/>
          <w:szCs w:val="24"/>
        </w:rPr>
        <w:t>四、专业教学质量监控与保障</w:t>
      </w:r>
      <w:bookmarkEnd w:id="13"/>
    </w:p>
    <w:p w:rsidR="00A910F8" w:rsidRDefault="00E07596">
      <w:pPr>
        <w:pStyle w:val="2"/>
        <w:spacing w:before="20" w:after="20" w:line="240" w:lineRule="auto"/>
        <w:rPr>
          <w:rFonts w:ascii="楷体" w:eastAsia="楷体" w:hAnsi="楷体" w:cs="楷体"/>
          <w:sz w:val="24"/>
          <w:szCs w:val="24"/>
        </w:rPr>
      </w:pPr>
      <w:bookmarkStart w:id="14" w:name="_Toc5183"/>
      <w:r>
        <w:rPr>
          <w:rFonts w:ascii="楷体" w:eastAsia="楷体" w:hAnsi="楷体" w:cs="楷体" w:hint="eastAsia"/>
          <w:sz w:val="24"/>
          <w:szCs w:val="24"/>
        </w:rPr>
        <w:t>（一）教学质量体系建设</w:t>
      </w:r>
      <w:bookmarkEnd w:id="14"/>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学院高度重视教学管理的规范，形成了一系列的教学规章制度，明确教学决策组织、教学运行、教学督导监控、教学条件保障等在体系中各自的地位与责任，优化管理，完善运行机制。具体包括：教学管理实施细则、加强教风建设的规定、实验教学管理的规定、听课制度的规定、调课和停课规定、教师外出参加学术活动的管理规定、考务管理工作的规定、国际经贸学院教学督导工作暂行条例、教学办公室岗位分工职责细则、专业主任岗位职责、教研室工作规范细则、教学科研奖励办法细则、就业指导服务工作奖励办法、国际经贸学院本科毕业论文（设计）管理办法、本科生专业实习教学管理实施办法、国际经贸学院产学研基地建设及管理办法等。在规章制度的实施过程中，注重系统、全面、科学、规范，做到各项管理工作都能落实到位，使教学管理工作的水平得到不断提高。</w:t>
      </w:r>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lastRenderedPageBreak/>
        <w:t>首先，形成了以教学秘书→专业主任→教学副院长→院长→教学委员会为主体的学院教学管理体系，涉及教学活动的重大事项均提交教学委员会后，交学院党政联席会审议决定。</w:t>
      </w:r>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其次，学院设立了二级教学督导，全面督查学院各类教学事项，如课堂秩序、考场秩序、评阅卷、毕业论文质量等等。</w:t>
      </w:r>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再次，学院完善教研制度，充分发挥系部和教学团队的作用，及时解决教学中关于教学内容、教学手段与方法、教材、实习实验中存在的各种问题以保证教学质量水平。</w:t>
      </w:r>
    </w:p>
    <w:p w:rsidR="00A910F8" w:rsidRDefault="00E07596">
      <w:pPr>
        <w:pStyle w:val="2"/>
        <w:spacing w:before="20" w:after="20" w:line="240" w:lineRule="auto"/>
        <w:rPr>
          <w:rFonts w:ascii="楷体" w:eastAsia="楷体" w:hAnsi="楷体" w:cs="楷体"/>
          <w:sz w:val="24"/>
          <w:szCs w:val="24"/>
        </w:rPr>
      </w:pPr>
      <w:bookmarkStart w:id="15" w:name="_Toc23080"/>
      <w:r>
        <w:rPr>
          <w:rFonts w:ascii="楷体" w:eastAsia="楷体" w:hAnsi="楷体" w:cs="楷体" w:hint="eastAsia"/>
          <w:sz w:val="24"/>
          <w:szCs w:val="24"/>
        </w:rPr>
        <w:t>（二）教学质量监控运行</w:t>
      </w:r>
      <w:bookmarkEnd w:id="15"/>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学院建立专业教学质量监控与评价体系，对专业定位、培养计划、培养目标、教学条件、教学过程、教学效果等教学管理及教学全过程的各个环节的质量情况进行监督控制与评价。</w:t>
      </w:r>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在教学质量评价体系方面，定期召开学生座谈会，建立了教师相互听课制度，构建了学生评教——系部互评——学院评教三位一体的质量评价体系，更为客观地评价教学效果和教学质量。</w:t>
      </w:r>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在国际经济与贸易系层面，为了加强教学管理，提高教学质量，除了通过常规的督导听课、领导听课、同行听课的方式来监控教学质量之外，系部定期展开教研活动，组织集中备课，一方面让教学质量好的老师进行示范性教学，另一方面就教学中存在的问题进行交流和讨论，实现了教学质量的稳步提高。此外，充分利用学生线上评教系统，让教师了解自己在教学中的优点和存在的问题，取长补短，提高教学效果。</w:t>
      </w:r>
    </w:p>
    <w:p w:rsidR="00A910F8" w:rsidRDefault="00E07596">
      <w:pPr>
        <w:pStyle w:val="2"/>
        <w:spacing w:before="20" w:after="20" w:line="240" w:lineRule="auto"/>
        <w:rPr>
          <w:rFonts w:ascii="楷体" w:eastAsia="楷体" w:hAnsi="楷体" w:cs="楷体"/>
          <w:sz w:val="24"/>
          <w:szCs w:val="24"/>
        </w:rPr>
      </w:pPr>
      <w:bookmarkStart w:id="16" w:name="_Toc19439"/>
      <w:r>
        <w:rPr>
          <w:rFonts w:ascii="楷体" w:eastAsia="楷体" w:hAnsi="楷体" w:cs="楷体" w:hint="eastAsia"/>
          <w:sz w:val="24"/>
          <w:szCs w:val="24"/>
        </w:rPr>
        <w:t>（三）教学质量评估与反馈</w:t>
      </w:r>
      <w:bookmarkEnd w:id="16"/>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在以上的教学质量评价体系下，结合督导反馈、期中教学检查反馈、学生评教反馈、内部听课反馈、教研活动的反馈等结果，对教学质量进行客观评估，制定相应的调整政策，从而提高教学质量。尤其在期中教学检查中，国际经贸学院充分发挥教学委员会的作用，由系部主任、校外督导和教学办公室共同组织检查小组，制定具体实施方案，严格自查。主要检查内容为：教学秩序和课堂教学情况、必修课教学质量、</w:t>
      </w:r>
      <w:r>
        <w:rPr>
          <w:rFonts w:ascii="楷体" w:eastAsia="楷体" w:hAnsi="楷体" w:cs="楷体" w:hint="eastAsia"/>
          <w:color w:val="333333"/>
          <w:kern w:val="0"/>
          <w:sz w:val="24"/>
          <w:szCs w:val="24"/>
        </w:rPr>
        <w:lastRenderedPageBreak/>
        <w:t>试卷检查与归档、日常教研活动的开展、教风学风、教师激励计划的执行。并在检查的基础上，形成问题清单，逐一整改。</w:t>
      </w:r>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根据学校规定，国际经济与贸易专业也积极实施了学校专业质量报告制度，每学期期中对本专业教学情况进行自查，并根据学校有关部门要求，就本专业在每学年的教学运行情况和取得的成效积极撰写质量报告，汇总到学校总的质量报告中对外发布。</w:t>
      </w:r>
    </w:p>
    <w:p w:rsidR="00A910F8" w:rsidRDefault="00E07596">
      <w:pPr>
        <w:pStyle w:val="1"/>
        <w:spacing w:before="20" w:after="20" w:line="360" w:lineRule="auto"/>
        <w:rPr>
          <w:rFonts w:ascii="楷体" w:eastAsia="楷体" w:hAnsi="楷体" w:cs="楷体"/>
          <w:sz w:val="28"/>
          <w:szCs w:val="28"/>
        </w:rPr>
      </w:pPr>
      <w:bookmarkStart w:id="17" w:name="_Toc22022"/>
      <w:r>
        <w:rPr>
          <w:rFonts w:ascii="楷体" w:eastAsia="楷体" w:hAnsi="楷体" w:cs="楷体" w:hint="eastAsia"/>
          <w:sz w:val="28"/>
          <w:szCs w:val="28"/>
        </w:rPr>
        <w:t>五、专业教学质量与效果</w:t>
      </w:r>
      <w:bookmarkEnd w:id="17"/>
    </w:p>
    <w:p w:rsidR="00A910F8" w:rsidRDefault="00E07596">
      <w:pPr>
        <w:pStyle w:val="2"/>
        <w:spacing w:before="20" w:after="20" w:line="240" w:lineRule="auto"/>
        <w:rPr>
          <w:rFonts w:ascii="楷体" w:eastAsia="楷体" w:hAnsi="楷体" w:cs="楷体"/>
          <w:sz w:val="24"/>
          <w:szCs w:val="24"/>
        </w:rPr>
      </w:pPr>
      <w:bookmarkStart w:id="18" w:name="_Toc23471"/>
      <w:r>
        <w:rPr>
          <w:rFonts w:ascii="楷体" w:eastAsia="楷体" w:hAnsi="楷体" w:cs="楷体" w:hint="eastAsia"/>
          <w:sz w:val="24"/>
          <w:szCs w:val="24"/>
        </w:rPr>
        <w:t>（一）学风建设情况及效果</w:t>
      </w:r>
      <w:bookmarkEnd w:id="18"/>
    </w:p>
    <w:p w:rsidR="00A910F8" w:rsidRDefault="00E07596">
      <w:pPr>
        <w:widowControl/>
        <w:adjustRightInd w:val="0"/>
        <w:snapToGrid w:val="0"/>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国际经贸学院学风建设以班级和团支部作为实施单位，从加强教学、思想教育和学生管理等方面入手，以制度建设和强化管理为突破口，以职业生涯教育为牵引，以学生科创兴趣的培养为切入点，引导学生从规范要求走向自觉自立，从“要我学”转变到“我要学”，增强学习的能动性，在思考中学习，在学习中提高。</w:t>
      </w:r>
    </w:p>
    <w:p w:rsidR="00A910F8" w:rsidRDefault="00E07596" w:rsidP="00D02887">
      <w:pPr>
        <w:widowControl/>
        <w:adjustRightInd w:val="0"/>
        <w:snapToGrid w:val="0"/>
        <w:spacing w:line="500" w:lineRule="exact"/>
        <w:ind w:firstLineChars="200" w:firstLine="474"/>
        <w:rPr>
          <w:rFonts w:ascii="楷体" w:eastAsia="楷体" w:hAnsi="楷体" w:cs="楷体"/>
          <w:b/>
          <w:bCs/>
          <w:color w:val="333333"/>
          <w:kern w:val="0"/>
          <w:sz w:val="24"/>
          <w:szCs w:val="24"/>
        </w:rPr>
      </w:pPr>
      <w:r>
        <w:rPr>
          <w:rFonts w:ascii="楷体" w:eastAsia="楷体" w:hAnsi="楷体" w:cs="楷体" w:hint="eastAsia"/>
          <w:b/>
          <w:bCs/>
          <w:color w:val="333333"/>
          <w:kern w:val="0"/>
          <w:sz w:val="24"/>
          <w:szCs w:val="24"/>
        </w:rPr>
        <w:t>1.建立学风建设四级联动制度，注重成效</w:t>
      </w:r>
    </w:p>
    <w:p w:rsidR="00A910F8" w:rsidRDefault="00E07596">
      <w:pPr>
        <w:widowControl/>
        <w:adjustRightInd w:val="0"/>
        <w:snapToGrid w:val="0"/>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成立学院学风建设领导小组，学院党政主要领导担任组长，对学院学风建设进行总体指导（负总责）。学院学生工作分管领导为直接责任人，对学风建设的各项制度、措施负直接责任（进行全面指导，直接负责）。辅导员、教学秘书等为具体责任人和落实人，对各班级学风建设和各项活动、工作细节的部署、落实、考核、奖惩等及时到位负具体责任。党员、团学干部、班干部、入党积极分子等学生骨干作为学风建设活动的践行者，要充分发挥以身作则的作用。</w:t>
      </w:r>
    </w:p>
    <w:p w:rsidR="00A910F8" w:rsidRDefault="00E07596" w:rsidP="00D02887">
      <w:pPr>
        <w:widowControl/>
        <w:adjustRightInd w:val="0"/>
        <w:snapToGrid w:val="0"/>
        <w:spacing w:line="500" w:lineRule="exact"/>
        <w:ind w:firstLineChars="200" w:firstLine="474"/>
        <w:rPr>
          <w:rFonts w:ascii="楷体" w:eastAsia="楷体" w:hAnsi="楷体" w:cs="楷体"/>
          <w:b/>
          <w:bCs/>
          <w:color w:val="333333"/>
          <w:kern w:val="0"/>
          <w:sz w:val="24"/>
          <w:szCs w:val="24"/>
        </w:rPr>
      </w:pPr>
      <w:r>
        <w:rPr>
          <w:rFonts w:ascii="楷体" w:eastAsia="楷体" w:hAnsi="楷体" w:cs="楷体" w:hint="eastAsia"/>
          <w:b/>
          <w:bCs/>
          <w:color w:val="333333"/>
          <w:kern w:val="0"/>
          <w:sz w:val="24"/>
          <w:szCs w:val="24"/>
        </w:rPr>
        <w:t>2.构建多层次学风检查制度，加强监督</w:t>
      </w:r>
    </w:p>
    <w:p w:rsidR="00A910F8" w:rsidRDefault="00E07596">
      <w:pPr>
        <w:widowControl/>
        <w:adjustRightInd w:val="0"/>
        <w:snapToGrid w:val="0"/>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建立课堂、学术讲座等考勤登记制度，重点关注多次迟到、早退、旷课同学的跟踪记录并及时教育跟进，教育之后仍然效果不佳的要严格按照学院学风建设相关规定，给予处分。继续落实好以学生党员和班级考勤员为主体的班级学风考勤制度，不定期开展学院层面班级学风建设情况抽查活动。</w:t>
      </w:r>
    </w:p>
    <w:p w:rsidR="00D02887" w:rsidRDefault="00D02887">
      <w:pPr>
        <w:widowControl/>
        <w:adjustRightInd w:val="0"/>
        <w:snapToGrid w:val="0"/>
        <w:spacing w:line="500" w:lineRule="exact"/>
        <w:ind w:firstLineChars="200" w:firstLine="472"/>
        <w:rPr>
          <w:rFonts w:ascii="楷体" w:eastAsia="楷体" w:hAnsi="楷体" w:cs="楷体"/>
          <w:color w:val="333333"/>
          <w:kern w:val="0"/>
          <w:sz w:val="24"/>
          <w:szCs w:val="24"/>
        </w:rPr>
      </w:pPr>
    </w:p>
    <w:p w:rsidR="00A910F8" w:rsidRDefault="00E07596" w:rsidP="00D02887">
      <w:pPr>
        <w:widowControl/>
        <w:adjustRightInd w:val="0"/>
        <w:snapToGrid w:val="0"/>
        <w:spacing w:line="500" w:lineRule="exact"/>
        <w:ind w:firstLineChars="200" w:firstLine="474"/>
        <w:rPr>
          <w:rFonts w:ascii="楷体" w:eastAsia="楷体" w:hAnsi="楷体" w:cs="楷体"/>
          <w:b/>
          <w:bCs/>
          <w:color w:val="333333"/>
          <w:kern w:val="0"/>
          <w:sz w:val="24"/>
          <w:szCs w:val="24"/>
        </w:rPr>
      </w:pPr>
      <w:r>
        <w:rPr>
          <w:rFonts w:ascii="楷体" w:eastAsia="楷体" w:hAnsi="楷体" w:cs="楷体" w:hint="eastAsia"/>
          <w:b/>
          <w:bCs/>
          <w:color w:val="333333"/>
          <w:kern w:val="0"/>
          <w:sz w:val="24"/>
          <w:szCs w:val="24"/>
        </w:rPr>
        <w:lastRenderedPageBreak/>
        <w:t>3.明确奖惩机制，将班级整体学风状况与学院、学校等优秀班集体和红旗团支部等奖励相结合</w:t>
      </w:r>
    </w:p>
    <w:p w:rsidR="00A910F8" w:rsidRDefault="00E07596">
      <w:pPr>
        <w:widowControl/>
        <w:adjustRightInd w:val="0"/>
        <w:snapToGrid w:val="0"/>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班级平时出勤率、平均绩点情况、课程及格率、学术科创活动的参与及获奖情况等学风建设的关键指标要与校级、院级层面的优秀班集体、红旗团支部、评优评奖名额等适当加以关联，既注重班级平时的基础工作又要引导班集体向着学院设立的优良学风班级的目标前行。</w:t>
      </w:r>
    </w:p>
    <w:p w:rsidR="00A910F8" w:rsidRDefault="00E07596" w:rsidP="00D02887">
      <w:pPr>
        <w:widowControl/>
        <w:adjustRightInd w:val="0"/>
        <w:snapToGrid w:val="0"/>
        <w:spacing w:line="500" w:lineRule="exact"/>
        <w:ind w:firstLineChars="200" w:firstLine="474"/>
        <w:rPr>
          <w:rFonts w:ascii="楷体" w:eastAsia="楷体" w:hAnsi="楷体" w:cs="楷体"/>
          <w:b/>
          <w:bCs/>
          <w:color w:val="333333"/>
          <w:kern w:val="0"/>
          <w:sz w:val="24"/>
          <w:szCs w:val="24"/>
        </w:rPr>
      </w:pPr>
      <w:r>
        <w:rPr>
          <w:rFonts w:ascii="楷体" w:eastAsia="楷体" w:hAnsi="楷体" w:cs="楷体" w:hint="eastAsia"/>
          <w:b/>
          <w:bCs/>
          <w:color w:val="333333"/>
          <w:kern w:val="0"/>
          <w:sz w:val="24"/>
          <w:szCs w:val="24"/>
        </w:rPr>
        <w:t>4.加强学风建设的分类研究，针对不同年级采取不同的推进举措</w:t>
      </w:r>
    </w:p>
    <w:p w:rsidR="00A910F8" w:rsidRDefault="00E07596">
      <w:pPr>
        <w:widowControl/>
        <w:adjustRightInd w:val="0"/>
        <w:snapToGrid w:val="0"/>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针对不同年级的学生特点，确定不同学风建设活动主题。对大一年级学生重点抓好入学适应教育和优良学风的养成教育，实行晚自习制，培养学生优良的自我学习和管理习惯，强调诚信教育；对大二年级学生重点抓好外语、计算机和与专业有关的职业资格证书的考证教育，初步培养学生良好的学术科技创新能力；对大三年级学生要突出专业特色，重点抓好创新创业能力和专业技能的培养，合理规划职业生涯；对于大四年级学生重点抓好毕业教育，有效提升学生综合素养，加强就业教育与指导，提高签约率和就业率。</w:t>
      </w:r>
    </w:p>
    <w:p w:rsidR="00A910F8" w:rsidRDefault="00E07596" w:rsidP="00D02887">
      <w:pPr>
        <w:widowControl/>
        <w:adjustRightInd w:val="0"/>
        <w:snapToGrid w:val="0"/>
        <w:spacing w:line="500" w:lineRule="exact"/>
        <w:ind w:firstLineChars="200" w:firstLine="474"/>
        <w:rPr>
          <w:rFonts w:ascii="楷体" w:eastAsia="楷体" w:hAnsi="楷体" w:cs="楷体"/>
          <w:b/>
          <w:bCs/>
          <w:color w:val="333333"/>
          <w:kern w:val="0"/>
          <w:sz w:val="24"/>
          <w:szCs w:val="24"/>
        </w:rPr>
      </w:pPr>
      <w:r>
        <w:rPr>
          <w:rFonts w:ascii="楷体" w:eastAsia="楷体" w:hAnsi="楷体" w:cs="楷体" w:hint="eastAsia"/>
          <w:b/>
          <w:bCs/>
          <w:color w:val="333333"/>
          <w:kern w:val="0"/>
          <w:sz w:val="24"/>
          <w:szCs w:val="24"/>
        </w:rPr>
        <w:t>5.建立考研、出国留学和名企就业的校友动态数据库，发挥朋辈教育在学风建设中的独特作用</w:t>
      </w:r>
    </w:p>
    <w:p w:rsidR="00A910F8" w:rsidRDefault="00E07596">
      <w:pPr>
        <w:widowControl/>
        <w:adjustRightInd w:val="0"/>
        <w:snapToGrid w:val="0"/>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学院梳理近五年内成功考取名校研究生、国外知名高校和在经济领域名企成功就业的毕业生，分别建立考研、出国和就业三个类别的优秀校友资源动态数据库，详细收集优秀学子的典型案例，邀请他们来校开展优秀校友讲坛等系列活动，激励在校学生的学习热情，积极利用校友资源，为学院的人才培养做出贡献。</w:t>
      </w:r>
    </w:p>
    <w:p w:rsidR="00A910F8" w:rsidRDefault="00E07596" w:rsidP="00D02887">
      <w:pPr>
        <w:widowControl/>
        <w:adjustRightInd w:val="0"/>
        <w:snapToGrid w:val="0"/>
        <w:spacing w:line="500" w:lineRule="exact"/>
        <w:ind w:firstLineChars="200" w:firstLine="474"/>
        <w:rPr>
          <w:rFonts w:ascii="楷体" w:eastAsia="楷体" w:hAnsi="楷体" w:cs="楷体"/>
          <w:b/>
          <w:bCs/>
          <w:color w:val="333333"/>
          <w:kern w:val="0"/>
          <w:sz w:val="24"/>
          <w:szCs w:val="24"/>
        </w:rPr>
      </w:pPr>
      <w:r>
        <w:rPr>
          <w:rFonts w:ascii="楷体" w:eastAsia="楷体" w:hAnsi="楷体" w:cs="楷体" w:hint="eastAsia"/>
          <w:b/>
          <w:bCs/>
          <w:color w:val="333333"/>
          <w:kern w:val="0"/>
          <w:sz w:val="24"/>
          <w:szCs w:val="24"/>
        </w:rPr>
        <w:t>6.利用新媒体平台来宣传学风建设主题教育活动，营造学风建设的良好氛围</w:t>
      </w:r>
    </w:p>
    <w:p w:rsidR="00A910F8" w:rsidRDefault="00E07596">
      <w:pPr>
        <w:widowControl/>
        <w:adjustRightInd w:val="0"/>
        <w:snapToGrid w:val="0"/>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各班集体、团支部、党支部和团委学生会等学生组织积极宣传和推进“优良学风班”建设，举办学术报告和讲座，在学院师生中广泛组织开展学习讨论和学术交流，同时团委学生会组织学生开展各种学术科创竞赛、专业知识竞赛、小型学习研讨、学风建设网上论坛等活动，营造良好学习氛围；各班级、团支部、党支部要通过主题班会、主题团日、党支部主题教育活动等方式，围绕学风建设主题开展活动和组织学习</w:t>
      </w:r>
      <w:r>
        <w:rPr>
          <w:rFonts w:ascii="楷体" w:eastAsia="楷体" w:hAnsi="楷体" w:cs="楷体" w:hint="eastAsia"/>
          <w:color w:val="333333"/>
          <w:kern w:val="0"/>
          <w:sz w:val="24"/>
          <w:szCs w:val="24"/>
        </w:rPr>
        <w:lastRenderedPageBreak/>
        <w:t>讨论，进行自我教育和自我管理。同时鼓励班级将相关活动在学院微信平台、微博、易班等新媒体平台加以宣传，提升学院层面整体学风建设的宣传力度。</w:t>
      </w:r>
    </w:p>
    <w:p w:rsidR="00A910F8" w:rsidRDefault="00E07596" w:rsidP="00D02887">
      <w:pPr>
        <w:widowControl/>
        <w:adjustRightInd w:val="0"/>
        <w:snapToGrid w:val="0"/>
        <w:spacing w:line="500" w:lineRule="exact"/>
        <w:ind w:firstLineChars="200" w:firstLine="474"/>
        <w:rPr>
          <w:rFonts w:ascii="楷体" w:eastAsia="楷体" w:hAnsi="楷体" w:cs="楷体"/>
          <w:b/>
          <w:bCs/>
          <w:color w:val="333333"/>
          <w:kern w:val="0"/>
          <w:sz w:val="24"/>
          <w:szCs w:val="24"/>
        </w:rPr>
      </w:pPr>
      <w:r>
        <w:rPr>
          <w:rFonts w:ascii="楷体" w:eastAsia="楷体" w:hAnsi="楷体" w:cs="楷体" w:hint="eastAsia"/>
          <w:b/>
          <w:bCs/>
          <w:color w:val="333333"/>
          <w:kern w:val="0"/>
          <w:sz w:val="24"/>
          <w:szCs w:val="24"/>
        </w:rPr>
        <w:t>7.强调教风对学风的重要影响，构建教风与学风的联动机制</w:t>
      </w:r>
    </w:p>
    <w:p w:rsidR="00A910F8" w:rsidRDefault="00E07596">
      <w:pPr>
        <w:widowControl/>
        <w:adjustRightInd w:val="0"/>
        <w:snapToGrid w:val="0"/>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学院重视导师制在优良学风创建中的重要作用和意义，发挥任课教师和导师在优良学风建设中的主导作用。教师在课堂上因材施教、进行启发式教学，导师在课下进行针对性指导，有利于引导学生进行创新性思维，激发学生的学习兴趣，促进学风建设；学生通过深入细致地钻研教材、积极思考、大胆提问，可以促使教师不断学习和补充新知识，提高授课技巧和水平，进而促进教风建设。</w:t>
      </w:r>
    </w:p>
    <w:p w:rsidR="00A910F8" w:rsidRDefault="00E07596" w:rsidP="00D02887">
      <w:pPr>
        <w:widowControl/>
        <w:adjustRightInd w:val="0"/>
        <w:snapToGrid w:val="0"/>
        <w:spacing w:line="500" w:lineRule="exact"/>
        <w:ind w:firstLineChars="200" w:firstLine="474"/>
        <w:rPr>
          <w:rFonts w:ascii="楷体" w:eastAsia="楷体" w:hAnsi="楷体" w:cs="楷体"/>
          <w:b/>
          <w:bCs/>
          <w:color w:val="333333"/>
          <w:kern w:val="0"/>
          <w:sz w:val="24"/>
          <w:szCs w:val="24"/>
        </w:rPr>
      </w:pPr>
      <w:r>
        <w:rPr>
          <w:rFonts w:ascii="楷体" w:eastAsia="楷体" w:hAnsi="楷体" w:cs="楷体" w:hint="eastAsia"/>
          <w:b/>
          <w:bCs/>
          <w:color w:val="333333"/>
          <w:kern w:val="0"/>
          <w:sz w:val="24"/>
          <w:szCs w:val="24"/>
        </w:rPr>
        <w:t>8.学风建设成效</w:t>
      </w:r>
    </w:p>
    <w:p w:rsidR="00A910F8" w:rsidRDefault="00E07596">
      <w:pPr>
        <w:widowControl/>
        <w:adjustRightInd w:val="0"/>
        <w:snapToGrid w:val="0"/>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根据各班的出勤率统计，各班每学期的平均出勤率在90%之间，班级的出勤率情况整体好转。从各班级的出勤情况来看，国际化班的学生学习积极性明显较高，出勤率平均95%以上。从课程来看，专业必修课的出勤率明显高于选修课等课程的出勤率。通过学院的学风建设，班级同学的学习态度、学习成绩整体上升，不及格率呈整体下降趋势。同时，学生干部的模范带头作用日渐明显，学院在学风建设方面正在实现由出勤率向点头率的整体提升。学院的学风建设初见成效。</w:t>
      </w:r>
    </w:p>
    <w:p w:rsidR="00A910F8" w:rsidRDefault="00E07596">
      <w:pPr>
        <w:pStyle w:val="2"/>
        <w:spacing w:before="20" w:after="20" w:line="240" w:lineRule="auto"/>
        <w:rPr>
          <w:rFonts w:ascii="楷体" w:eastAsia="楷体" w:hAnsi="楷体" w:cs="楷体"/>
          <w:sz w:val="24"/>
          <w:szCs w:val="24"/>
        </w:rPr>
      </w:pPr>
      <w:bookmarkStart w:id="19" w:name="_Toc22614"/>
      <w:r>
        <w:rPr>
          <w:rFonts w:ascii="楷体" w:eastAsia="楷体" w:hAnsi="楷体" w:cs="楷体" w:hint="eastAsia"/>
          <w:sz w:val="24"/>
          <w:szCs w:val="24"/>
        </w:rPr>
        <w:t>（二）学生学习成绩</w:t>
      </w:r>
      <w:bookmarkEnd w:id="19"/>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1.在校课程成绩情况</w:t>
      </w:r>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学生各类课程考试成绩分布基本正常，多数课程的考试成绩呈正态分布，主要课程的重修率和补考率情况分布在正常范围（见表5-1）。</w:t>
      </w:r>
    </w:p>
    <w:p w:rsidR="00A910F8" w:rsidRDefault="00E07596" w:rsidP="00D02887">
      <w:pPr>
        <w:widowControl/>
        <w:shd w:val="clear" w:color="auto" w:fill="FFFFFF"/>
        <w:spacing w:line="500" w:lineRule="exact"/>
        <w:ind w:firstLineChars="200" w:firstLine="474"/>
        <w:jc w:val="center"/>
        <w:rPr>
          <w:rFonts w:ascii="楷体" w:eastAsia="楷体" w:hAnsi="楷体" w:cs="楷体"/>
          <w:b/>
          <w:bCs/>
          <w:color w:val="333333"/>
          <w:kern w:val="0"/>
          <w:sz w:val="24"/>
          <w:szCs w:val="24"/>
        </w:rPr>
      </w:pPr>
      <w:r>
        <w:rPr>
          <w:rFonts w:ascii="楷体" w:eastAsia="楷体" w:hAnsi="楷体" w:cs="楷体" w:hint="eastAsia"/>
          <w:b/>
          <w:bCs/>
          <w:color w:val="000000"/>
          <w:kern w:val="0"/>
          <w:sz w:val="24"/>
          <w:szCs w:val="24"/>
        </w:rPr>
        <w:t>表5-1 2020-2021学年国贸专业主要课程重修率及补考率</w:t>
      </w:r>
    </w:p>
    <w:tbl>
      <w:tblPr>
        <w:tblW w:w="500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16"/>
        <w:gridCol w:w="1278"/>
        <w:gridCol w:w="1164"/>
        <w:gridCol w:w="1164"/>
        <w:gridCol w:w="1164"/>
        <w:gridCol w:w="1164"/>
        <w:gridCol w:w="1164"/>
        <w:gridCol w:w="927"/>
      </w:tblGrid>
      <w:tr w:rsidR="00A910F8" w:rsidTr="00D02887">
        <w:trPr>
          <w:trHeight w:val="600"/>
          <w:tblHeader/>
        </w:trPr>
        <w:tc>
          <w:tcPr>
            <w:tcW w:w="1194" w:type="pct"/>
            <w:shd w:val="clear" w:color="auto" w:fill="E7E6E6" w:themeFill="background2"/>
            <w:noWrap/>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课程名称</w:t>
            </w:r>
          </w:p>
        </w:tc>
        <w:tc>
          <w:tcPr>
            <w:tcW w:w="605" w:type="pct"/>
            <w:shd w:val="clear" w:color="auto" w:fill="E7E6E6" w:themeFill="background2"/>
            <w:noWrap/>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课程代码</w:t>
            </w:r>
          </w:p>
        </w:tc>
        <w:tc>
          <w:tcPr>
            <w:tcW w:w="551" w:type="pct"/>
            <w:shd w:val="clear" w:color="auto" w:fill="E7E6E6" w:themeFill="background2"/>
            <w:noWrap/>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应考人数</w:t>
            </w:r>
          </w:p>
        </w:tc>
        <w:tc>
          <w:tcPr>
            <w:tcW w:w="551" w:type="pct"/>
            <w:shd w:val="clear" w:color="auto" w:fill="E7E6E6" w:themeFill="background2"/>
            <w:noWrap/>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补考人数</w:t>
            </w:r>
          </w:p>
        </w:tc>
        <w:tc>
          <w:tcPr>
            <w:tcW w:w="551" w:type="pct"/>
            <w:shd w:val="clear" w:color="auto" w:fill="E7E6E6" w:themeFill="background2"/>
            <w:noWrap/>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补考比例</w:t>
            </w:r>
          </w:p>
        </w:tc>
        <w:tc>
          <w:tcPr>
            <w:tcW w:w="551" w:type="pct"/>
            <w:shd w:val="clear" w:color="auto" w:fill="E7E6E6" w:themeFill="background2"/>
            <w:noWrap/>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重修人数</w:t>
            </w:r>
          </w:p>
        </w:tc>
        <w:tc>
          <w:tcPr>
            <w:tcW w:w="551" w:type="pct"/>
            <w:shd w:val="clear" w:color="auto" w:fill="E7E6E6" w:themeFill="background2"/>
            <w:noWrap/>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重修比例</w:t>
            </w:r>
          </w:p>
        </w:tc>
        <w:tc>
          <w:tcPr>
            <w:tcW w:w="444" w:type="pct"/>
            <w:shd w:val="clear" w:color="auto" w:fill="E7E6E6" w:themeFill="background2"/>
            <w:noWrap/>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平均分</w:t>
            </w:r>
          </w:p>
        </w:tc>
      </w:tr>
      <w:tr w:rsidR="00A910F8">
        <w:trPr>
          <w:trHeight w:val="600"/>
        </w:trPr>
        <w:tc>
          <w:tcPr>
            <w:tcW w:w="2316"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国际贸易实务</w:t>
            </w:r>
          </w:p>
        </w:tc>
        <w:tc>
          <w:tcPr>
            <w:tcW w:w="1161"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140180310</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150</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 xml:space="preserve">2 </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1.33%</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 xml:space="preserve">2 </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1.33%</w:t>
            </w:r>
          </w:p>
        </w:tc>
        <w:tc>
          <w:tcPr>
            <w:tcW w:w="849"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 xml:space="preserve">78.07 </w:t>
            </w:r>
          </w:p>
        </w:tc>
      </w:tr>
      <w:tr w:rsidR="00A910F8">
        <w:trPr>
          <w:trHeight w:val="600"/>
        </w:trPr>
        <w:tc>
          <w:tcPr>
            <w:tcW w:w="2316"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 xml:space="preserve">国际经济学(全英语) </w:t>
            </w:r>
          </w:p>
        </w:tc>
        <w:tc>
          <w:tcPr>
            <w:tcW w:w="1161"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140160213</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163</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 xml:space="preserve">5 </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3.07%</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 xml:space="preserve">5 </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3.07%</w:t>
            </w:r>
          </w:p>
        </w:tc>
        <w:tc>
          <w:tcPr>
            <w:tcW w:w="849"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 xml:space="preserve">78.10 </w:t>
            </w:r>
          </w:p>
        </w:tc>
      </w:tr>
      <w:tr w:rsidR="00A910F8">
        <w:trPr>
          <w:trHeight w:val="600"/>
        </w:trPr>
        <w:tc>
          <w:tcPr>
            <w:tcW w:w="2316" w:type="dxa"/>
            <w:shd w:val="clear" w:color="auto" w:fill="auto"/>
            <w:noWrap/>
            <w:vAlign w:val="center"/>
          </w:tcPr>
          <w:p w:rsidR="00A910F8" w:rsidRDefault="00E07596">
            <w:pPr>
              <w:widowControl/>
              <w:jc w:val="center"/>
              <w:textAlignment w:val="center"/>
              <w:rPr>
                <w:rFonts w:ascii="楷体" w:eastAsia="楷体" w:hAnsi="楷体" w:cs="楷体"/>
                <w:color w:val="000000" w:themeColor="text1"/>
                <w:kern w:val="0"/>
                <w:sz w:val="24"/>
                <w:szCs w:val="24"/>
              </w:rPr>
            </w:pPr>
            <w:r>
              <w:rPr>
                <w:rFonts w:ascii="楷体" w:eastAsia="楷体" w:hAnsi="楷体" w:cs="楷体" w:hint="eastAsia"/>
                <w:color w:val="000000"/>
                <w:kern w:val="0"/>
                <w:sz w:val="24"/>
                <w:szCs w:val="24"/>
                <w:lang w:bidi="ar"/>
              </w:rPr>
              <w:t>国际贸易学（全英）</w:t>
            </w:r>
          </w:p>
        </w:tc>
        <w:tc>
          <w:tcPr>
            <w:tcW w:w="1161" w:type="dxa"/>
            <w:shd w:val="clear" w:color="auto" w:fill="auto"/>
            <w:noWrap/>
            <w:vAlign w:val="center"/>
          </w:tcPr>
          <w:p w:rsidR="00A910F8" w:rsidRDefault="00E07596">
            <w:pPr>
              <w:widowControl/>
              <w:jc w:val="center"/>
              <w:textAlignment w:val="center"/>
              <w:rPr>
                <w:rFonts w:ascii="楷体" w:eastAsia="楷体" w:hAnsi="楷体" w:cs="楷体"/>
                <w:color w:val="000000" w:themeColor="text1"/>
                <w:kern w:val="0"/>
                <w:sz w:val="24"/>
                <w:szCs w:val="24"/>
              </w:rPr>
            </w:pPr>
            <w:r>
              <w:rPr>
                <w:rFonts w:ascii="楷体" w:eastAsia="楷体" w:hAnsi="楷体" w:cs="楷体" w:hint="eastAsia"/>
                <w:color w:val="000000"/>
                <w:kern w:val="0"/>
                <w:sz w:val="24"/>
                <w:szCs w:val="24"/>
                <w:lang w:bidi="ar"/>
              </w:rPr>
              <w:t>140220313</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themeColor="text1"/>
                <w:kern w:val="0"/>
                <w:sz w:val="24"/>
                <w:szCs w:val="24"/>
              </w:rPr>
            </w:pPr>
            <w:r>
              <w:rPr>
                <w:rFonts w:ascii="楷体" w:eastAsia="楷体" w:hAnsi="楷体" w:cs="楷体" w:hint="eastAsia"/>
                <w:color w:val="000000"/>
                <w:kern w:val="0"/>
                <w:sz w:val="24"/>
                <w:szCs w:val="24"/>
                <w:lang w:bidi="ar"/>
              </w:rPr>
              <w:t>77</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themeColor="text1"/>
                <w:kern w:val="0"/>
                <w:sz w:val="24"/>
                <w:szCs w:val="24"/>
              </w:rPr>
            </w:pPr>
            <w:r>
              <w:rPr>
                <w:rFonts w:ascii="楷体" w:eastAsia="楷体" w:hAnsi="楷体" w:cs="楷体" w:hint="eastAsia"/>
                <w:color w:val="000000"/>
                <w:kern w:val="0"/>
                <w:sz w:val="24"/>
                <w:szCs w:val="24"/>
                <w:lang w:bidi="ar"/>
              </w:rPr>
              <w:t xml:space="preserve">3 </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themeColor="text1"/>
                <w:kern w:val="0"/>
                <w:sz w:val="24"/>
                <w:szCs w:val="24"/>
              </w:rPr>
            </w:pPr>
            <w:r>
              <w:rPr>
                <w:rFonts w:ascii="楷体" w:eastAsia="楷体" w:hAnsi="楷体" w:cs="楷体" w:hint="eastAsia"/>
                <w:color w:val="000000"/>
                <w:kern w:val="0"/>
                <w:sz w:val="24"/>
                <w:szCs w:val="24"/>
                <w:lang w:bidi="ar"/>
              </w:rPr>
              <w:t>3.90%</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themeColor="text1"/>
                <w:kern w:val="0"/>
                <w:sz w:val="24"/>
                <w:szCs w:val="24"/>
              </w:rPr>
            </w:pPr>
            <w:r>
              <w:rPr>
                <w:rFonts w:ascii="楷体" w:eastAsia="楷体" w:hAnsi="楷体" w:cs="楷体" w:hint="eastAsia"/>
                <w:color w:val="000000"/>
                <w:kern w:val="0"/>
                <w:sz w:val="24"/>
                <w:szCs w:val="24"/>
                <w:lang w:bidi="ar"/>
              </w:rPr>
              <w:t xml:space="preserve">1 </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themeColor="text1"/>
                <w:kern w:val="0"/>
                <w:sz w:val="24"/>
                <w:szCs w:val="24"/>
              </w:rPr>
            </w:pPr>
            <w:r>
              <w:rPr>
                <w:rFonts w:ascii="楷体" w:eastAsia="楷体" w:hAnsi="楷体" w:cs="楷体" w:hint="eastAsia"/>
                <w:color w:val="000000"/>
                <w:kern w:val="0"/>
                <w:sz w:val="24"/>
                <w:szCs w:val="24"/>
                <w:lang w:bidi="ar"/>
              </w:rPr>
              <w:t>1.30%</w:t>
            </w:r>
          </w:p>
        </w:tc>
        <w:tc>
          <w:tcPr>
            <w:tcW w:w="849" w:type="dxa"/>
            <w:shd w:val="clear" w:color="auto" w:fill="auto"/>
            <w:noWrap/>
            <w:vAlign w:val="center"/>
          </w:tcPr>
          <w:p w:rsidR="00A910F8" w:rsidRDefault="00E07596">
            <w:pPr>
              <w:widowControl/>
              <w:jc w:val="center"/>
              <w:textAlignment w:val="center"/>
              <w:rPr>
                <w:rFonts w:ascii="楷体" w:eastAsia="楷体" w:hAnsi="楷体" w:cs="楷体"/>
                <w:color w:val="000000" w:themeColor="text1"/>
                <w:kern w:val="0"/>
                <w:sz w:val="24"/>
                <w:szCs w:val="24"/>
              </w:rPr>
            </w:pPr>
            <w:r>
              <w:rPr>
                <w:rFonts w:ascii="楷体" w:eastAsia="楷体" w:hAnsi="楷体" w:cs="楷体" w:hint="eastAsia"/>
                <w:color w:val="000000"/>
                <w:kern w:val="0"/>
                <w:sz w:val="24"/>
                <w:szCs w:val="24"/>
                <w:lang w:bidi="ar"/>
              </w:rPr>
              <w:t xml:space="preserve">81.30 </w:t>
            </w:r>
          </w:p>
        </w:tc>
      </w:tr>
      <w:tr w:rsidR="00A910F8">
        <w:trPr>
          <w:trHeight w:val="600"/>
        </w:trPr>
        <w:tc>
          <w:tcPr>
            <w:tcW w:w="2316"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lastRenderedPageBreak/>
              <w:t>国际商务谈判（全英）</w:t>
            </w:r>
          </w:p>
        </w:tc>
        <w:tc>
          <w:tcPr>
            <w:tcW w:w="1161"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140240213</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70</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 xml:space="preserve">0 </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0.00%</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 xml:space="preserve">0 </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0.00%</w:t>
            </w:r>
          </w:p>
        </w:tc>
        <w:tc>
          <w:tcPr>
            <w:tcW w:w="849"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 xml:space="preserve">80.85 </w:t>
            </w:r>
          </w:p>
        </w:tc>
      </w:tr>
      <w:tr w:rsidR="00A910F8">
        <w:trPr>
          <w:trHeight w:val="600"/>
        </w:trPr>
        <w:tc>
          <w:tcPr>
            <w:tcW w:w="2316"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进出口结算</w:t>
            </w:r>
          </w:p>
        </w:tc>
        <w:tc>
          <w:tcPr>
            <w:tcW w:w="1161"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140270210</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151</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 xml:space="preserve">2 </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1.32%</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 xml:space="preserve">0 </w:t>
            </w:r>
          </w:p>
        </w:tc>
        <w:tc>
          <w:tcPr>
            <w:tcW w:w="1060"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0.00%</w:t>
            </w:r>
          </w:p>
        </w:tc>
        <w:tc>
          <w:tcPr>
            <w:tcW w:w="849" w:type="dxa"/>
            <w:shd w:val="clear" w:color="auto" w:fill="auto"/>
            <w:noWrap/>
            <w:vAlign w:val="center"/>
          </w:tcPr>
          <w:p w:rsidR="00A910F8" w:rsidRDefault="00E07596">
            <w:pPr>
              <w:widowControl/>
              <w:jc w:val="center"/>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lang w:bidi="ar"/>
              </w:rPr>
              <w:t xml:space="preserve">82.13 </w:t>
            </w:r>
          </w:p>
        </w:tc>
      </w:tr>
    </w:tbl>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在专业学习之外，学生积极参与各种证书的考试，大学英语四级和六级的通过率为分别为92%和75%。</w:t>
      </w:r>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良好的学风对提高学生的学习效果起到了积极的作用， 16位学生独立或联合发表论文10篇（见表5-2），99位学生获得了证券从业资格、初级会计师资格、期货从业资格等各类证书，ACCA单科的通过率在90%以上。</w:t>
      </w:r>
    </w:p>
    <w:p w:rsidR="00D02887" w:rsidRDefault="00D02887">
      <w:pPr>
        <w:widowControl/>
        <w:shd w:val="clear" w:color="auto" w:fill="FFFFFF"/>
        <w:spacing w:line="500" w:lineRule="exact"/>
        <w:ind w:firstLineChars="200" w:firstLine="472"/>
        <w:rPr>
          <w:rFonts w:ascii="楷体" w:eastAsia="楷体" w:hAnsi="楷体" w:cs="楷体"/>
          <w:color w:val="333333"/>
          <w:kern w:val="0"/>
          <w:sz w:val="24"/>
          <w:szCs w:val="24"/>
        </w:rPr>
      </w:pPr>
    </w:p>
    <w:p w:rsidR="00A910F8" w:rsidRDefault="00E07596" w:rsidP="00D02887">
      <w:pPr>
        <w:widowControl/>
        <w:shd w:val="clear" w:color="auto" w:fill="FFFFFF"/>
        <w:spacing w:line="500" w:lineRule="exact"/>
        <w:ind w:firstLineChars="200" w:firstLine="474"/>
        <w:jc w:val="center"/>
        <w:rPr>
          <w:rFonts w:ascii="楷体" w:eastAsia="楷体" w:hAnsi="楷体" w:cs="楷体"/>
          <w:b/>
          <w:bCs/>
          <w:color w:val="333333"/>
          <w:kern w:val="0"/>
          <w:sz w:val="24"/>
          <w:szCs w:val="24"/>
        </w:rPr>
      </w:pPr>
      <w:r>
        <w:rPr>
          <w:rFonts w:ascii="楷体" w:eastAsia="楷体" w:hAnsi="楷体" w:cs="楷体" w:hint="eastAsia"/>
          <w:b/>
          <w:bCs/>
          <w:color w:val="333333"/>
          <w:kern w:val="0"/>
          <w:sz w:val="24"/>
          <w:szCs w:val="24"/>
        </w:rPr>
        <w:t>表5-3 2020-2021学年学生发表论文情况表</w:t>
      </w:r>
    </w:p>
    <w:tbl>
      <w:tblPr>
        <w:tblW w:w="5000" w:type="pct"/>
        <w:jc w:val="center"/>
        <w:tblLook w:val="04A0" w:firstRow="1" w:lastRow="0" w:firstColumn="1" w:lastColumn="0" w:noHBand="0" w:noVBand="1"/>
      </w:tblPr>
      <w:tblGrid>
        <w:gridCol w:w="760"/>
        <w:gridCol w:w="1498"/>
        <w:gridCol w:w="4703"/>
        <w:gridCol w:w="2100"/>
      </w:tblGrid>
      <w:tr w:rsidR="00A910F8">
        <w:trPr>
          <w:trHeight w:val="680"/>
          <w:tblHeader/>
          <w:jc w:val="center"/>
        </w:trPr>
        <w:tc>
          <w:tcPr>
            <w:tcW w:w="4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序号</w:t>
            </w:r>
          </w:p>
        </w:tc>
        <w:tc>
          <w:tcPr>
            <w:tcW w:w="8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作者</w:t>
            </w:r>
          </w:p>
        </w:tc>
        <w:tc>
          <w:tcPr>
            <w:tcW w:w="259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论文名称</w:t>
            </w:r>
          </w:p>
        </w:tc>
        <w:tc>
          <w:tcPr>
            <w:tcW w:w="1159" w:type="pct"/>
            <w:tcBorders>
              <w:top w:val="single" w:sz="4" w:space="0" w:color="auto"/>
              <w:left w:val="single" w:sz="4" w:space="0" w:color="auto"/>
              <w:bottom w:val="single" w:sz="4" w:space="0" w:color="auto"/>
              <w:right w:val="single" w:sz="4" w:space="0" w:color="auto"/>
            </w:tcBorders>
            <w:shd w:val="clear" w:color="auto" w:fill="E7E6E6" w:themeFill="background2"/>
          </w:tcPr>
          <w:p w:rsidR="00A910F8" w:rsidRDefault="00E07596">
            <w:pPr>
              <w:widowControl/>
              <w:jc w:val="center"/>
              <w:rPr>
                <w:rFonts w:ascii="楷体" w:eastAsia="楷体" w:hAnsi="楷体" w:cs="楷体"/>
                <w:b/>
                <w:bCs/>
                <w:color w:val="000000"/>
                <w:kern w:val="0"/>
                <w:sz w:val="24"/>
                <w:szCs w:val="24"/>
              </w:rPr>
            </w:pPr>
            <w:r>
              <w:rPr>
                <w:rFonts w:ascii="楷体" w:eastAsia="楷体" w:hAnsi="楷体" w:cs="楷体" w:hint="eastAsia"/>
                <w:b/>
                <w:bCs/>
                <w:color w:val="000000"/>
                <w:kern w:val="0"/>
                <w:sz w:val="24"/>
                <w:szCs w:val="24"/>
              </w:rPr>
              <w:t>出版日期</w:t>
            </w:r>
          </w:p>
        </w:tc>
      </w:tr>
      <w:tr w:rsidR="00A910F8">
        <w:trPr>
          <w:trHeight w:val="680"/>
          <w:jc w:val="center"/>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1</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rPr>
                <w:rFonts w:ascii="楷体" w:eastAsia="楷体" w:hAnsi="楷体" w:cs="楷体"/>
                <w:kern w:val="2"/>
                <w:szCs w:val="24"/>
                <w:lang w:eastAsia="zh-CN" w:bidi="ar-SA"/>
              </w:rPr>
            </w:pPr>
            <w:r>
              <w:rPr>
                <w:rFonts w:ascii="楷体" w:eastAsia="楷体" w:hAnsi="楷体" w:cs="楷体" w:hint="eastAsia"/>
                <w:kern w:val="2"/>
                <w:szCs w:val="24"/>
                <w:lang w:eastAsia="zh-CN" w:bidi="ar-SA"/>
              </w:rPr>
              <w:t>吕嘉明</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基于多元分析的智慧城市竞争力研究</w:t>
            </w:r>
          </w:p>
        </w:tc>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中国市场，</w:t>
            </w:r>
          </w:p>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2020-02</w:t>
            </w:r>
          </w:p>
        </w:tc>
      </w:tr>
      <w:tr w:rsidR="00A910F8">
        <w:trPr>
          <w:trHeight w:val="680"/>
          <w:jc w:val="center"/>
        </w:trPr>
        <w:tc>
          <w:tcPr>
            <w:tcW w:w="419" w:type="pct"/>
            <w:tcBorders>
              <w:top w:val="nil"/>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left"/>
              <w:rPr>
                <w:rFonts w:ascii="楷体" w:eastAsia="楷体" w:hAnsi="楷体" w:cs="楷体"/>
                <w:kern w:val="2"/>
                <w:szCs w:val="24"/>
                <w:lang w:eastAsia="zh-CN" w:bidi="ar-SA"/>
              </w:rPr>
            </w:pPr>
            <w:r>
              <w:rPr>
                <w:rFonts w:ascii="楷体" w:eastAsia="楷体" w:hAnsi="楷体" w:cs="楷体" w:hint="eastAsia"/>
                <w:kern w:val="2"/>
                <w:szCs w:val="24"/>
                <w:lang w:eastAsia="zh-CN" w:bidi="ar-SA"/>
              </w:rPr>
              <w:t>陈淑怡、俞  倩、朱喆枫、李易文、王馨语、</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上海市大学生心理问题调研及预防疏导——基于上海市三所高校的案例研究</w:t>
            </w:r>
          </w:p>
        </w:tc>
        <w:tc>
          <w:tcPr>
            <w:tcW w:w="1159" w:type="pct"/>
            <w:tcBorders>
              <w:top w:val="single" w:sz="4" w:space="0" w:color="auto"/>
              <w:left w:val="nil"/>
              <w:bottom w:val="nil"/>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作家天地，</w:t>
            </w:r>
          </w:p>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2020-02</w:t>
            </w:r>
          </w:p>
        </w:tc>
      </w:tr>
      <w:tr w:rsidR="00A910F8">
        <w:trPr>
          <w:trHeight w:val="680"/>
          <w:jc w:val="center"/>
        </w:trPr>
        <w:tc>
          <w:tcPr>
            <w:tcW w:w="419" w:type="pct"/>
            <w:tcBorders>
              <w:top w:val="nil"/>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left"/>
              <w:rPr>
                <w:rFonts w:ascii="楷体" w:eastAsia="楷体" w:hAnsi="楷体" w:cs="楷体"/>
                <w:kern w:val="2"/>
                <w:szCs w:val="24"/>
                <w:lang w:eastAsia="zh-CN" w:bidi="ar-SA"/>
              </w:rPr>
            </w:pPr>
            <w:r>
              <w:rPr>
                <w:rFonts w:ascii="楷体" w:eastAsia="楷体" w:hAnsi="楷体" w:cs="楷体" w:hint="eastAsia"/>
                <w:kern w:val="2"/>
                <w:szCs w:val="24"/>
                <w:lang w:eastAsia="zh-CN" w:bidi="ar-SA"/>
              </w:rPr>
              <w:t>田忆萌</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电子商务环境下我国国际贸易经济的发展探析</w:t>
            </w:r>
          </w:p>
        </w:tc>
        <w:tc>
          <w:tcPr>
            <w:tcW w:w="1159" w:type="pct"/>
            <w:tcBorders>
              <w:top w:val="single" w:sz="4" w:space="0" w:color="auto"/>
              <w:left w:val="nil"/>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经贸实践，</w:t>
            </w:r>
          </w:p>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2020-06</w:t>
            </w:r>
          </w:p>
        </w:tc>
      </w:tr>
      <w:tr w:rsidR="00A910F8" w:rsidTr="00D02887">
        <w:trPr>
          <w:trHeight w:val="680"/>
          <w:jc w:val="center"/>
        </w:trPr>
        <w:tc>
          <w:tcPr>
            <w:tcW w:w="419" w:type="pct"/>
            <w:tcBorders>
              <w:top w:val="nil"/>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left"/>
              <w:rPr>
                <w:rFonts w:ascii="楷体" w:eastAsia="楷体" w:hAnsi="楷体" w:cs="楷体"/>
                <w:kern w:val="2"/>
                <w:szCs w:val="24"/>
                <w:lang w:eastAsia="zh-CN" w:bidi="ar-SA"/>
              </w:rPr>
            </w:pPr>
            <w:r>
              <w:rPr>
                <w:rFonts w:ascii="楷体" w:eastAsia="楷体" w:hAnsi="楷体" w:cs="楷体" w:hint="eastAsia"/>
                <w:kern w:val="2"/>
                <w:szCs w:val="24"/>
                <w:lang w:eastAsia="zh-CN" w:bidi="ar-SA"/>
              </w:rPr>
              <w:t>戚玫云、       张昕怡、周雪君</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云计算环境下学术信息资源共享全面保障机制</w:t>
            </w:r>
          </w:p>
        </w:tc>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现代信息科技，</w:t>
            </w:r>
          </w:p>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2020-06</w:t>
            </w:r>
          </w:p>
        </w:tc>
      </w:tr>
      <w:tr w:rsidR="00A910F8" w:rsidTr="00D02887">
        <w:trPr>
          <w:trHeight w:val="680"/>
          <w:jc w:val="center"/>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left"/>
              <w:rPr>
                <w:rFonts w:ascii="楷体" w:eastAsia="楷体" w:hAnsi="楷体" w:cs="楷体"/>
                <w:kern w:val="2"/>
                <w:szCs w:val="24"/>
                <w:lang w:eastAsia="zh-CN" w:bidi="ar-SA"/>
              </w:rPr>
            </w:pPr>
            <w:r>
              <w:rPr>
                <w:rFonts w:ascii="楷体" w:eastAsia="楷体" w:hAnsi="楷体" w:cs="楷体" w:hint="eastAsia"/>
                <w:kern w:val="2"/>
                <w:szCs w:val="24"/>
                <w:lang w:eastAsia="zh-CN" w:bidi="ar-SA"/>
              </w:rPr>
              <w:t>李雪聪</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营商环境优化与中小企业高质量发展—基于上海市营商环境现状及发展状况</w:t>
            </w:r>
          </w:p>
        </w:tc>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rsidP="00D02887">
            <w:pPr>
              <w:pStyle w:val="aa"/>
              <w:adjustRightInd w:val="0"/>
              <w:snapToGrid w:val="0"/>
              <w:ind w:firstLine="472"/>
              <w:rPr>
                <w:rFonts w:ascii="楷体" w:eastAsia="楷体" w:hAnsi="楷体" w:cs="楷体"/>
                <w:kern w:val="2"/>
                <w:szCs w:val="24"/>
                <w:lang w:eastAsia="zh-CN" w:bidi="ar-SA"/>
              </w:rPr>
            </w:pPr>
            <w:r>
              <w:rPr>
                <w:rFonts w:ascii="楷体" w:eastAsia="楷体" w:hAnsi="楷体" w:cs="楷体" w:hint="eastAsia"/>
                <w:kern w:val="2"/>
                <w:szCs w:val="24"/>
                <w:lang w:eastAsia="zh-CN" w:bidi="ar-SA"/>
              </w:rPr>
              <w:t>市场周刊，</w:t>
            </w:r>
          </w:p>
          <w:p w:rsidR="00D02887" w:rsidRDefault="00E07596" w:rsidP="00D02887">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2020-09</w:t>
            </w:r>
          </w:p>
        </w:tc>
      </w:tr>
      <w:tr w:rsidR="00A910F8" w:rsidTr="00D02887">
        <w:trPr>
          <w:trHeight w:val="680"/>
          <w:jc w:val="center"/>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lastRenderedPageBreak/>
              <w:t>6</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left"/>
              <w:rPr>
                <w:rFonts w:ascii="楷体" w:eastAsia="楷体" w:hAnsi="楷体" w:cs="楷体"/>
                <w:kern w:val="2"/>
                <w:szCs w:val="24"/>
                <w:lang w:eastAsia="zh-CN" w:bidi="ar-SA"/>
              </w:rPr>
            </w:pPr>
            <w:r>
              <w:rPr>
                <w:rFonts w:ascii="楷体" w:eastAsia="楷体" w:hAnsi="楷体" w:cs="楷体" w:hint="eastAsia"/>
                <w:kern w:val="2"/>
                <w:szCs w:val="24"/>
                <w:lang w:eastAsia="zh-CN" w:bidi="ar-SA"/>
              </w:rPr>
              <w:t>孙莹</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The utilization of present bias based on bounded rationality</w:t>
            </w:r>
          </w:p>
        </w:tc>
        <w:tc>
          <w:tcPr>
            <w:tcW w:w="1159" w:type="pct"/>
            <w:tcBorders>
              <w:top w:val="single" w:sz="4" w:space="0" w:color="auto"/>
              <w:left w:val="nil"/>
              <w:bottom w:val="nil"/>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ICEMGD的会议论文《2020 3rd International Conference on Economic Management and Green</w:t>
            </w:r>
          </w:p>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2020-09</w:t>
            </w:r>
          </w:p>
        </w:tc>
      </w:tr>
      <w:tr w:rsidR="00A910F8">
        <w:trPr>
          <w:trHeight w:val="680"/>
          <w:jc w:val="center"/>
        </w:trPr>
        <w:tc>
          <w:tcPr>
            <w:tcW w:w="419" w:type="pct"/>
            <w:tcBorders>
              <w:top w:val="nil"/>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7</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left"/>
              <w:rPr>
                <w:rFonts w:ascii="楷体" w:eastAsia="楷体" w:hAnsi="楷体" w:cs="楷体"/>
                <w:kern w:val="2"/>
                <w:szCs w:val="24"/>
                <w:lang w:eastAsia="zh-CN" w:bidi="ar-SA"/>
              </w:rPr>
            </w:pPr>
            <w:r>
              <w:rPr>
                <w:rFonts w:ascii="楷体" w:eastAsia="楷体" w:hAnsi="楷体" w:cs="楷体" w:hint="eastAsia"/>
                <w:kern w:val="2"/>
                <w:szCs w:val="24"/>
                <w:lang w:eastAsia="zh-CN" w:bidi="ar-SA"/>
              </w:rPr>
              <w:t>吴嘉祺</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当代大学生理财观念调查及理财能力提升研究</w:t>
            </w:r>
          </w:p>
        </w:tc>
        <w:tc>
          <w:tcPr>
            <w:tcW w:w="1159" w:type="pct"/>
            <w:tcBorders>
              <w:top w:val="single" w:sz="4" w:space="0" w:color="auto"/>
              <w:left w:val="nil"/>
              <w:bottom w:val="nil"/>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创新创业理论研究与实践，2020年3月第五期</w:t>
            </w:r>
          </w:p>
        </w:tc>
      </w:tr>
      <w:tr w:rsidR="00A910F8">
        <w:trPr>
          <w:trHeight w:val="680"/>
          <w:jc w:val="center"/>
        </w:trPr>
        <w:tc>
          <w:tcPr>
            <w:tcW w:w="419" w:type="pct"/>
            <w:tcBorders>
              <w:top w:val="nil"/>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8</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left"/>
              <w:rPr>
                <w:rFonts w:ascii="楷体" w:eastAsia="楷体" w:hAnsi="楷体" w:cs="楷体"/>
                <w:kern w:val="2"/>
                <w:szCs w:val="24"/>
                <w:lang w:eastAsia="zh-CN" w:bidi="ar-SA"/>
              </w:rPr>
            </w:pPr>
            <w:r>
              <w:rPr>
                <w:rFonts w:ascii="楷体" w:eastAsia="楷体" w:hAnsi="楷体" w:cs="楷体" w:hint="eastAsia"/>
                <w:kern w:val="2"/>
                <w:szCs w:val="24"/>
                <w:lang w:eastAsia="zh-CN" w:bidi="ar-SA"/>
              </w:rPr>
              <w:t>李睿、</w:t>
            </w:r>
          </w:p>
          <w:p w:rsidR="00A910F8" w:rsidRDefault="00E07596">
            <w:pPr>
              <w:pStyle w:val="aa"/>
              <w:adjustRightInd w:val="0"/>
              <w:snapToGrid w:val="0"/>
              <w:ind w:firstLineChars="0" w:firstLine="0"/>
              <w:jc w:val="left"/>
              <w:rPr>
                <w:rFonts w:ascii="楷体" w:eastAsia="楷体" w:hAnsi="楷体" w:cs="楷体"/>
                <w:kern w:val="2"/>
                <w:szCs w:val="24"/>
                <w:lang w:eastAsia="zh-CN" w:bidi="ar-SA"/>
              </w:rPr>
            </w:pPr>
            <w:r>
              <w:rPr>
                <w:rFonts w:ascii="楷体" w:eastAsia="楷体" w:hAnsi="楷体" w:cs="楷体" w:hint="eastAsia"/>
                <w:kern w:val="2"/>
                <w:szCs w:val="24"/>
                <w:lang w:eastAsia="zh-CN" w:bidi="ar-SA"/>
              </w:rPr>
              <w:t>李宛阳</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上海市90后高校毕业生职场工作幸福感的影响因素研究</w:t>
            </w:r>
          </w:p>
        </w:tc>
        <w:tc>
          <w:tcPr>
            <w:tcW w:w="1159" w:type="pct"/>
            <w:tcBorders>
              <w:top w:val="single" w:sz="4" w:space="0" w:color="auto"/>
              <w:left w:val="nil"/>
              <w:bottom w:val="nil"/>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《商情》，2021年1月第二期</w:t>
            </w:r>
          </w:p>
        </w:tc>
      </w:tr>
      <w:tr w:rsidR="00A910F8">
        <w:trPr>
          <w:trHeight w:val="680"/>
          <w:jc w:val="center"/>
        </w:trPr>
        <w:tc>
          <w:tcPr>
            <w:tcW w:w="419" w:type="pct"/>
            <w:tcBorders>
              <w:top w:val="nil"/>
              <w:left w:val="single" w:sz="4" w:space="0" w:color="auto"/>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9</w:t>
            </w:r>
          </w:p>
        </w:tc>
        <w:tc>
          <w:tcPr>
            <w:tcW w:w="826" w:type="pct"/>
            <w:tcBorders>
              <w:top w:val="nil"/>
              <w:left w:val="nil"/>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left"/>
              <w:rPr>
                <w:rFonts w:ascii="楷体" w:eastAsia="楷体" w:hAnsi="楷体" w:cs="楷体"/>
                <w:kern w:val="2"/>
                <w:szCs w:val="24"/>
                <w:lang w:eastAsia="zh-CN" w:bidi="ar-SA"/>
              </w:rPr>
            </w:pPr>
            <w:r>
              <w:rPr>
                <w:rFonts w:ascii="楷体" w:eastAsia="楷体" w:hAnsi="楷体" w:cs="楷体" w:hint="eastAsia"/>
                <w:kern w:val="2"/>
                <w:szCs w:val="24"/>
                <w:lang w:eastAsia="zh-CN" w:bidi="ar-SA"/>
              </w:rPr>
              <w:t>李丹</w:t>
            </w:r>
          </w:p>
        </w:tc>
        <w:tc>
          <w:tcPr>
            <w:tcW w:w="2594" w:type="pct"/>
            <w:tcBorders>
              <w:top w:val="single" w:sz="4" w:space="0" w:color="auto"/>
              <w:left w:val="nil"/>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金融支撑下的实体经济发展研究</w:t>
            </w:r>
          </w:p>
        </w:tc>
        <w:tc>
          <w:tcPr>
            <w:tcW w:w="1159" w:type="pct"/>
            <w:tcBorders>
              <w:top w:val="single" w:sz="4" w:space="0" w:color="auto"/>
              <w:left w:val="nil"/>
              <w:bottom w:val="single" w:sz="4" w:space="0" w:color="auto"/>
              <w:right w:val="single" w:sz="4" w:space="0" w:color="auto"/>
            </w:tcBorders>
            <w:shd w:val="clear" w:color="auto" w:fill="auto"/>
            <w:vAlign w:val="center"/>
          </w:tcPr>
          <w:p w:rsidR="00A910F8" w:rsidRDefault="00E07596">
            <w:pPr>
              <w:pStyle w:val="aa"/>
              <w:adjustRightInd w:val="0"/>
              <w:snapToGrid w:val="0"/>
              <w:ind w:firstLineChars="0" w:firstLine="0"/>
              <w:jc w:val="center"/>
              <w:rPr>
                <w:rFonts w:ascii="楷体" w:eastAsia="楷体" w:hAnsi="楷体" w:cs="楷体"/>
                <w:kern w:val="2"/>
                <w:szCs w:val="24"/>
                <w:lang w:eastAsia="zh-CN" w:bidi="ar-SA"/>
              </w:rPr>
            </w:pPr>
            <w:r>
              <w:rPr>
                <w:rFonts w:ascii="楷体" w:eastAsia="楷体" w:hAnsi="楷体" w:cs="楷体" w:hint="eastAsia"/>
                <w:kern w:val="2"/>
                <w:szCs w:val="24"/>
                <w:lang w:eastAsia="zh-CN" w:bidi="ar-SA"/>
              </w:rPr>
              <w:t>《商情2.0》，2021年5月</w:t>
            </w:r>
          </w:p>
        </w:tc>
      </w:tr>
    </w:tbl>
    <w:p w:rsidR="00A910F8" w:rsidRDefault="00E07596" w:rsidP="00D02887">
      <w:pPr>
        <w:spacing w:line="500" w:lineRule="exact"/>
        <w:ind w:firstLineChars="200" w:firstLine="474"/>
        <w:rPr>
          <w:rFonts w:ascii="楷体" w:eastAsia="楷体" w:hAnsi="楷体" w:cs="楷体"/>
          <w:b/>
          <w:bCs/>
          <w:sz w:val="24"/>
          <w:szCs w:val="24"/>
        </w:rPr>
      </w:pPr>
      <w:r>
        <w:rPr>
          <w:rFonts w:ascii="楷体" w:eastAsia="楷体" w:hAnsi="楷体" w:cs="楷体" w:hint="eastAsia"/>
          <w:b/>
          <w:bCs/>
          <w:sz w:val="24"/>
          <w:szCs w:val="24"/>
        </w:rPr>
        <w:t>2.学科竞赛情况</w:t>
      </w:r>
    </w:p>
    <w:p w:rsidR="00A910F8" w:rsidRDefault="00E07596">
      <w:pPr>
        <w:spacing w:line="500" w:lineRule="exact"/>
        <w:ind w:firstLineChars="200" w:firstLine="472"/>
        <w:rPr>
          <w:rFonts w:ascii="楷体" w:eastAsia="楷体" w:hAnsi="楷体" w:cs="楷体"/>
          <w:color w:val="000000" w:themeColor="text1"/>
          <w:sz w:val="24"/>
          <w:szCs w:val="24"/>
        </w:rPr>
      </w:pPr>
      <w:r>
        <w:rPr>
          <w:rFonts w:ascii="楷体" w:eastAsia="楷体" w:hAnsi="楷体" w:cs="楷体" w:hint="eastAsia"/>
          <w:color w:val="000000" w:themeColor="text1"/>
          <w:sz w:val="24"/>
          <w:szCs w:val="24"/>
        </w:rPr>
        <w:t>学院以科创竞赛为牵引，以赛促学、以赛促教，培养创新型人才。学生通过参加竞赛，不仅掌握了本专业的重要理论和实践知识，而且将多学科知识综合运用，通过团队协作完成竞赛，可以使学生各方面的能力和素质都得到充分的锻炼和开发，这与培养高水平应用型人才的需求紧密接轨。学院根据学校的统一部署，结合本院的专业特色组织、主要支持以下三个层面的赛事： 一是“国”字号大赛，例如：全国商业精英挑战赛、POCIB全国大学生外贸从业能力大赛。二是“三大”赛事，本专业鼓励学生参加例如：上海市“挑战杯”、“创青春”、“知行杯”比赛，提高学生的实践应用技能。三是院级和校级的赛事，例如经济人案例分析大赛、外贸综合技能大赛等。</w:t>
      </w:r>
    </w:p>
    <w:p w:rsidR="00A910F8" w:rsidRDefault="00E07596">
      <w:pPr>
        <w:spacing w:line="500" w:lineRule="exact"/>
        <w:ind w:firstLineChars="200" w:firstLine="472"/>
        <w:rPr>
          <w:rFonts w:ascii="楷体" w:eastAsia="楷体" w:hAnsi="楷体" w:cs="楷体"/>
          <w:color w:val="000000" w:themeColor="text1"/>
          <w:sz w:val="24"/>
          <w:szCs w:val="24"/>
        </w:rPr>
      </w:pPr>
      <w:r>
        <w:rPr>
          <w:rFonts w:ascii="楷体" w:eastAsia="楷体" w:hAnsi="楷体" w:cs="楷体" w:hint="eastAsia"/>
          <w:color w:val="000000" w:themeColor="text1"/>
          <w:sz w:val="24"/>
          <w:szCs w:val="24"/>
        </w:rPr>
        <w:t>通过这些赛事，可以激发学生学习兴趣，培养学生创新思维、团队合作以及解决</w:t>
      </w:r>
      <w:r>
        <w:rPr>
          <w:rFonts w:ascii="楷体" w:eastAsia="楷体" w:hAnsi="楷体" w:cs="楷体" w:hint="eastAsia"/>
          <w:color w:val="000000" w:themeColor="text1"/>
          <w:sz w:val="24"/>
          <w:szCs w:val="24"/>
        </w:rPr>
        <w:lastRenderedPageBreak/>
        <w:t>实际问题的能力，打造知识、能力、素质协调发展的高水平应用型人才。学院还将坚持以学科竞赛为引领，不断推动学科竞赛工作常规化、制度化，将高起点、全方位、多角度的学科竞赛与培养高水平应用型人才的目标融为一体</w:t>
      </w:r>
    </w:p>
    <w:p w:rsidR="00A910F8" w:rsidRDefault="00E07596">
      <w:pPr>
        <w:spacing w:line="500" w:lineRule="exact"/>
        <w:ind w:firstLineChars="200" w:firstLine="472"/>
        <w:rPr>
          <w:rFonts w:ascii="楷体" w:eastAsia="楷体" w:hAnsi="楷体" w:cs="楷体"/>
          <w:color w:val="000000" w:themeColor="text1"/>
          <w:sz w:val="24"/>
          <w:szCs w:val="24"/>
        </w:rPr>
      </w:pPr>
      <w:r>
        <w:rPr>
          <w:rFonts w:ascii="楷体" w:eastAsia="楷体" w:hAnsi="楷体" w:cs="楷体" w:hint="eastAsia"/>
          <w:color w:val="000000" w:themeColor="text1"/>
          <w:sz w:val="24"/>
          <w:szCs w:val="24"/>
        </w:rPr>
        <w:t>在2020--2021年度国际经贸学院团体和个人共获得了包括第六届“互联网+”大学生创新创业大赛</w:t>
      </w:r>
      <w:r>
        <w:rPr>
          <w:rFonts w:ascii="楷体" w:eastAsia="楷体" w:hAnsi="楷体" w:cs="楷体" w:hint="eastAsia"/>
          <w:color w:val="333333"/>
          <w:sz w:val="24"/>
          <w:szCs w:val="24"/>
        </w:rPr>
        <w:t>上海赛区</w:t>
      </w:r>
      <w:r>
        <w:rPr>
          <w:rFonts w:ascii="楷体" w:eastAsia="楷体" w:hAnsi="楷体" w:cs="楷体" w:hint="eastAsia"/>
          <w:color w:val="000000" w:themeColor="text1"/>
          <w:sz w:val="24"/>
          <w:szCs w:val="24"/>
        </w:rPr>
        <w:t>铜奖、</w:t>
      </w:r>
      <w:r>
        <w:rPr>
          <w:rFonts w:ascii="楷体" w:eastAsia="楷体" w:hAnsi="楷体" w:cs="楷体" w:hint="eastAsia"/>
          <w:color w:val="333333"/>
          <w:sz w:val="24"/>
          <w:szCs w:val="24"/>
        </w:rPr>
        <w:t>2020年和2021年全国商业精英挑战赛国际贸易专业竞赛一等奖、</w:t>
      </w:r>
      <w:r>
        <w:rPr>
          <w:rFonts w:ascii="楷体" w:eastAsia="楷体" w:hAnsi="楷体" w:cs="楷体" w:hint="eastAsia"/>
          <w:color w:val="000000" w:themeColor="text1"/>
          <w:sz w:val="24"/>
          <w:szCs w:val="24"/>
        </w:rPr>
        <w:t>全国高校商业精英挑战赛商务谈判总决赛一等奖、</w:t>
      </w:r>
      <w:r>
        <w:rPr>
          <w:rFonts w:ascii="楷体" w:eastAsia="楷体" w:hAnsi="楷体" w:cs="楷体" w:hint="eastAsia"/>
          <w:color w:val="333333"/>
          <w:sz w:val="24"/>
          <w:szCs w:val="24"/>
        </w:rPr>
        <w:t>第十七届“挑战杯”上海市大学生课外学术科技作品竞赛三等奖、</w:t>
      </w:r>
      <w:r>
        <w:rPr>
          <w:rFonts w:ascii="楷体" w:eastAsia="楷体" w:hAnsi="楷体" w:cs="楷体" w:hint="eastAsia"/>
          <w:color w:val="000000" w:themeColor="text1"/>
          <w:sz w:val="24"/>
          <w:szCs w:val="24"/>
        </w:rPr>
        <w:t>全国外贸从业能力大赛</w:t>
      </w:r>
      <w:r>
        <w:rPr>
          <w:rFonts w:ascii="楷体" w:eastAsia="楷体" w:hAnsi="楷体" w:cs="楷体" w:hint="eastAsia"/>
          <w:color w:val="333333"/>
          <w:sz w:val="24"/>
          <w:szCs w:val="24"/>
        </w:rPr>
        <w:t>2020-2021(秋季赛）</w:t>
      </w:r>
      <w:r>
        <w:rPr>
          <w:rFonts w:ascii="楷体" w:eastAsia="楷体" w:hAnsi="楷体" w:cs="楷体" w:hint="eastAsia"/>
          <w:color w:val="000000" w:themeColor="text1"/>
          <w:sz w:val="24"/>
          <w:szCs w:val="24"/>
        </w:rPr>
        <w:t>二等奖等14项省部级以上奖项。</w:t>
      </w:r>
    </w:p>
    <w:p w:rsidR="00A910F8" w:rsidRDefault="00E07596" w:rsidP="00D02887">
      <w:pPr>
        <w:spacing w:line="500" w:lineRule="exact"/>
        <w:ind w:firstLineChars="200" w:firstLine="474"/>
        <w:rPr>
          <w:rFonts w:ascii="楷体" w:eastAsia="楷体" w:hAnsi="楷体" w:cs="楷体"/>
          <w:b/>
          <w:bCs/>
          <w:sz w:val="24"/>
          <w:szCs w:val="24"/>
        </w:rPr>
      </w:pPr>
      <w:r>
        <w:rPr>
          <w:rFonts w:ascii="楷体" w:eastAsia="楷体" w:hAnsi="楷体" w:cs="楷体" w:hint="eastAsia"/>
          <w:b/>
          <w:bCs/>
          <w:sz w:val="24"/>
          <w:szCs w:val="24"/>
        </w:rPr>
        <w:t>3.毕业就业情况</w:t>
      </w:r>
    </w:p>
    <w:p w:rsidR="00A910F8" w:rsidRDefault="00E07596">
      <w:pPr>
        <w:spacing w:line="500" w:lineRule="exact"/>
        <w:ind w:firstLineChars="200" w:firstLine="472"/>
        <w:rPr>
          <w:rFonts w:ascii="楷体" w:eastAsia="楷体" w:hAnsi="楷体" w:cs="楷体"/>
          <w:sz w:val="24"/>
          <w:szCs w:val="24"/>
        </w:rPr>
      </w:pPr>
      <w:r>
        <w:rPr>
          <w:rFonts w:ascii="楷体" w:eastAsia="楷体" w:hAnsi="楷体" w:cs="楷体" w:hint="eastAsia"/>
          <w:sz w:val="24"/>
          <w:szCs w:val="24"/>
        </w:rPr>
        <w:t>2020年国际经济与贸易共有毕业生300人，就业率为98.67%，其中考取研究生人数为11人，出国人数为26人，详见表5-4。</w:t>
      </w:r>
    </w:p>
    <w:p w:rsidR="00A910F8" w:rsidRDefault="00E07596" w:rsidP="00D02887">
      <w:pPr>
        <w:widowControl/>
        <w:spacing w:line="500" w:lineRule="exact"/>
        <w:ind w:firstLineChars="200" w:firstLine="474"/>
        <w:jc w:val="center"/>
        <w:rPr>
          <w:rFonts w:ascii="楷体" w:eastAsia="楷体" w:hAnsi="楷体" w:cs="楷体"/>
          <w:b/>
          <w:kern w:val="0"/>
          <w:sz w:val="24"/>
          <w:szCs w:val="24"/>
        </w:rPr>
      </w:pPr>
      <w:r>
        <w:rPr>
          <w:rFonts w:ascii="楷体" w:eastAsia="楷体" w:hAnsi="楷体" w:cs="楷体" w:hint="eastAsia"/>
          <w:b/>
          <w:kern w:val="0"/>
          <w:sz w:val="24"/>
          <w:szCs w:val="24"/>
        </w:rPr>
        <w:t>表5-4  2020-2021学年毕业生就业状况表</w:t>
      </w:r>
    </w:p>
    <w:tbl>
      <w:tblPr>
        <w:tblpPr w:leftFromText="180" w:rightFromText="180" w:vertAnchor="text" w:horzAnchor="page" w:tblpX="946" w:tblpY="178"/>
        <w:tblOverlap w:val="never"/>
        <w:tblW w:w="5797" w:type="pct"/>
        <w:tblLayout w:type="fixed"/>
        <w:tblLook w:val="04A0" w:firstRow="1" w:lastRow="0" w:firstColumn="1" w:lastColumn="0" w:noHBand="0" w:noVBand="1"/>
      </w:tblPr>
      <w:tblGrid>
        <w:gridCol w:w="1039"/>
        <w:gridCol w:w="728"/>
        <w:gridCol w:w="728"/>
        <w:gridCol w:w="728"/>
        <w:gridCol w:w="728"/>
        <w:gridCol w:w="728"/>
        <w:gridCol w:w="728"/>
        <w:gridCol w:w="728"/>
        <w:gridCol w:w="728"/>
        <w:gridCol w:w="728"/>
        <w:gridCol w:w="728"/>
        <w:gridCol w:w="728"/>
        <w:gridCol w:w="727"/>
        <w:gridCol w:w="731"/>
      </w:tblGrid>
      <w:tr w:rsidR="00A910F8">
        <w:trPr>
          <w:trHeight w:val="1001"/>
        </w:trPr>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专业</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rPr>
                <w:rFonts w:ascii="楷体" w:eastAsia="楷体" w:hAnsi="楷体" w:cs="楷体"/>
                <w:kern w:val="0"/>
                <w:sz w:val="24"/>
                <w:szCs w:val="24"/>
              </w:rPr>
            </w:pPr>
            <w:r>
              <w:rPr>
                <w:rFonts w:ascii="楷体" w:eastAsia="楷体" w:hAnsi="楷体" w:cs="楷体" w:hint="eastAsia"/>
                <w:kern w:val="0"/>
                <w:sz w:val="24"/>
                <w:szCs w:val="24"/>
              </w:rPr>
              <w:t>人数</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rPr>
                <w:rFonts w:ascii="楷体" w:eastAsia="楷体" w:hAnsi="楷体" w:cs="楷体"/>
                <w:kern w:val="0"/>
                <w:sz w:val="24"/>
                <w:szCs w:val="24"/>
              </w:rPr>
            </w:pPr>
            <w:r>
              <w:rPr>
                <w:rFonts w:ascii="楷体" w:eastAsia="楷体" w:hAnsi="楷体" w:cs="楷体" w:hint="eastAsia"/>
                <w:kern w:val="0"/>
                <w:sz w:val="24"/>
                <w:szCs w:val="24"/>
              </w:rPr>
              <w:t>(01)派遣人数</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rPr>
                <w:rFonts w:ascii="楷体" w:eastAsia="楷体" w:hAnsi="楷体" w:cs="楷体"/>
                <w:kern w:val="0"/>
                <w:sz w:val="24"/>
                <w:szCs w:val="24"/>
              </w:rPr>
            </w:pPr>
            <w:r>
              <w:rPr>
                <w:rFonts w:ascii="楷体" w:eastAsia="楷体" w:hAnsi="楷体" w:cs="楷体" w:hint="eastAsia"/>
                <w:kern w:val="0"/>
                <w:sz w:val="24"/>
                <w:szCs w:val="24"/>
              </w:rPr>
              <w:t>(02)考研人数</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rPr>
                <w:rFonts w:ascii="楷体" w:eastAsia="楷体" w:hAnsi="楷体" w:cs="楷体"/>
                <w:kern w:val="0"/>
                <w:sz w:val="24"/>
                <w:szCs w:val="24"/>
              </w:rPr>
            </w:pPr>
            <w:r>
              <w:rPr>
                <w:rFonts w:ascii="楷体" w:eastAsia="楷体" w:hAnsi="楷体" w:cs="楷体" w:hint="eastAsia"/>
                <w:kern w:val="0"/>
                <w:sz w:val="24"/>
                <w:szCs w:val="24"/>
              </w:rPr>
              <w:t>(03)考双人数</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rPr>
                <w:rFonts w:ascii="楷体" w:eastAsia="楷体" w:hAnsi="楷体" w:cs="楷体"/>
                <w:kern w:val="0"/>
                <w:sz w:val="24"/>
                <w:szCs w:val="24"/>
              </w:rPr>
            </w:pPr>
            <w:r>
              <w:rPr>
                <w:rFonts w:ascii="楷体" w:eastAsia="楷体" w:hAnsi="楷体" w:cs="楷体" w:hint="eastAsia"/>
                <w:kern w:val="0"/>
                <w:sz w:val="24"/>
                <w:szCs w:val="24"/>
              </w:rPr>
              <w:t>(04)出国人数</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rPr>
                <w:rFonts w:ascii="楷体" w:eastAsia="楷体" w:hAnsi="楷体" w:cs="楷体"/>
                <w:kern w:val="0"/>
                <w:sz w:val="24"/>
                <w:szCs w:val="24"/>
              </w:rPr>
            </w:pPr>
            <w:r>
              <w:rPr>
                <w:rFonts w:ascii="楷体" w:eastAsia="楷体" w:hAnsi="楷体" w:cs="楷体" w:hint="eastAsia"/>
                <w:kern w:val="0"/>
                <w:sz w:val="24"/>
                <w:szCs w:val="24"/>
              </w:rPr>
              <w:t>(12)专升本人数</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rPr>
                <w:rFonts w:ascii="楷体" w:eastAsia="楷体" w:hAnsi="楷体" w:cs="楷体"/>
                <w:kern w:val="0"/>
                <w:sz w:val="24"/>
                <w:szCs w:val="24"/>
              </w:rPr>
            </w:pPr>
            <w:r>
              <w:rPr>
                <w:rFonts w:ascii="楷体" w:eastAsia="楷体" w:hAnsi="楷体" w:cs="楷体" w:hint="eastAsia"/>
                <w:kern w:val="0"/>
                <w:sz w:val="24"/>
                <w:szCs w:val="24"/>
              </w:rPr>
              <w:t>(17)国家地方项目</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jc w:val="left"/>
              <w:rPr>
                <w:rFonts w:ascii="楷体" w:eastAsia="楷体" w:hAnsi="楷体" w:cs="楷体"/>
                <w:kern w:val="0"/>
                <w:sz w:val="24"/>
                <w:szCs w:val="24"/>
              </w:rPr>
            </w:pPr>
            <w:r>
              <w:rPr>
                <w:rFonts w:ascii="楷体" w:eastAsia="楷体" w:hAnsi="楷体" w:cs="楷体" w:hint="eastAsia"/>
                <w:kern w:val="0"/>
                <w:sz w:val="24"/>
                <w:szCs w:val="24"/>
              </w:rPr>
              <w:t>签约人数</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jc w:val="left"/>
              <w:rPr>
                <w:rFonts w:ascii="楷体" w:eastAsia="楷体" w:hAnsi="楷体" w:cs="楷体"/>
                <w:kern w:val="0"/>
                <w:sz w:val="24"/>
                <w:szCs w:val="24"/>
              </w:rPr>
            </w:pPr>
            <w:r>
              <w:rPr>
                <w:rFonts w:ascii="楷体" w:eastAsia="楷体" w:hAnsi="楷体" w:cs="楷体" w:hint="eastAsia"/>
                <w:kern w:val="0"/>
                <w:sz w:val="24"/>
                <w:szCs w:val="24"/>
              </w:rPr>
              <w:t>签约率</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rPr>
                <w:rFonts w:ascii="楷体" w:eastAsia="楷体" w:hAnsi="楷体" w:cs="楷体"/>
                <w:kern w:val="0"/>
                <w:sz w:val="24"/>
                <w:szCs w:val="24"/>
              </w:rPr>
            </w:pPr>
            <w:r>
              <w:rPr>
                <w:rFonts w:ascii="楷体" w:eastAsia="楷体" w:hAnsi="楷体" w:cs="楷体" w:hint="eastAsia"/>
                <w:kern w:val="0"/>
                <w:sz w:val="24"/>
                <w:szCs w:val="24"/>
              </w:rPr>
              <w:t>(13)合同就业</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rPr>
                <w:rFonts w:ascii="楷体" w:eastAsia="楷体" w:hAnsi="楷体" w:cs="楷体"/>
                <w:kern w:val="0"/>
                <w:sz w:val="24"/>
                <w:szCs w:val="24"/>
              </w:rPr>
            </w:pPr>
            <w:r>
              <w:rPr>
                <w:rFonts w:ascii="楷体" w:eastAsia="楷体" w:hAnsi="楷体" w:cs="楷体" w:hint="eastAsia"/>
                <w:kern w:val="0"/>
                <w:sz w:val="24"/>
                <w:szCs w:val="24"/>
              </w:rPr>
              <w:t>(14)灵活就业</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rPr>
                <w:rFonts w:ascii="楷体" w:eastAsia="楷体" w:hAnsi="楷体" w:cs="楷体"/>
                <w:kern w:val="0"/>
                <w:sz w:val="24"/>
                <w:szCs w:val="24"/>
              </w:rPr>
            </w:pPr>
            <w:r>
              <w:rPr>
                <w:rFonts w:ascii="楷体" w:eastAsia="楷体" w:hAnsi="楷体" w:cs="楷体" w:hint="eastAsia"/>
                <w:kern w:val="0"/>
                <w:sz w:val="24"/>
                <w:szCs w:val="24"/>
              </w:rPr>
              <w:t>就业人数</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rPr>
                <w:rFonts w:ascii="楷体" w:eastAsia="楷体" w:hAnsi="楷体" w:cs="楷体"/>
                <w:kern w:val="0"/>
                <w:sz w:val="24"/>
                <w:szCs w:val="24"/>
              </w:rPr>
            </w:pPr>
            <w:r>
              <w:rPr>
                <w:rFonts w:ascii="楷体" w:eastAsia="楷体" w:hAnsi="楷体" w:cs="楷体" w:hint="eastAsia"/>
                <w:kern w:val="0"/>
                <w:sz w:val="24"/>
                <w:szCs w:val="24"/>
              </w:rPr>
              <w:t>就业率</w:t>
            </w:r>
          </w:p>
        </w:tc>
      </w:tr>
      <w:tr w:rsidR="00A910F8">
        <w:trPr>
          <w:trHeight w:val="684"/>
        </w:trPr>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国际经济与贸易</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300</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143</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11</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3</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26</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0</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1</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rPr>
                <w:rFonts w:ascii="楷体" w:eastAsia="楷体" w:hAnsi="楷体" w:cs="楷体"/>
                <w:kern w:val="0"/>
                <w:sz w:val="24"/>
                <w:szCs w:val="24"/>
              </w:rPr>
            </w:pPr>
            <w:r>
              <w:rPr>
                <w:rFonts w:ascii="楷体" w:eastAsia="楷体" w:hAnsi="楷体" w:cs="楷体" w:hint="eastAsia"/>
                <w:kern w:val="0"/>
                <w:sz w:val="24"/>
                <w:szCs w:val="24"/>
              </w:rPr>
              <w:t>184</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61.33%</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32</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80</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296</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98.67%</w:t>
            </w:r>
          </w:p>
        </w:tc>
      </w:tr>
    </w:tbl>
    <w:p w:rsidR="00A910F8" w:rsidRDefault="00E07596">
      <w:pPr>
        <w:widowControl/>
        <w:spacing w:line="500" w:lineRule="exact"/>
        <w:ind w:firstLineChars="200" w:firstLine="472"/>
        <w:rPr>
          <w:rFonts w:ascii="楷体" w:eastAsia="楷体" w:hAnsi="楷体" w:cs="楷体"/>
          <w:bCs/>
          <w:kern w:val="0"/>
          <w:sz w:val="24"/>
          <w:szCs w:val="24"/>
        </w:rPr>
      </w:pPr>
      <w:r>
        <w:rPr>
          <w:rFonts w:ascii="楷体" w:eastAsia="楷体" w:hAnsi="楷体" w:cs="楷体" w:hint="eastAsia"/>
          <w:bCs/>
          <w:kern w:val="0"/>
          <w:sz w:val="24"/>
          <w:szCs w:val="24"/>
        </w:rPr>
        <w:t>学院就业单位主要集中在会计事务所，银行等金融机构从事财务管理类工作，就业种类多样化，专业贴合度相对较高，学生具体就业流向详见下表：</w:t>
      </w:r>
    </w:p>
    <w:tbl>
      <w:tblPr>
        <w:tblpPr w:leftFromText="180" w:rightFromText="180" w:vertAnchor="text" w:horzAnchor="page" w:tblpX="791" w:tblpY="810"/>
        <w:tblOverlap w:val="never"/>
        <w:tblW w:w="5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759"/>
        <w:gridCol w:w="583"/>
        <w:gridCol w:w="512"/>
        <w:gridCol w:w="512"/>
        <w:gridCol w:w="635"/>
        <w:gridCol w:w="635"/>
        <w:gridCol w:w="511"/>
        <w:gridCol w:w="648"/>
        <w:gridCol w:w="511"/>
        <w:gridCol w:w="511"/>
        <w:gridCol w:w="580"/>
        <w:gridCol w:w="511"/>
        <w:gridCol w:w="635"/>
        <w:gridCol w:w="705"/>
        <w:gridCol w:w="511"/>
        <w:gridCol w:w="736"/>
      </w:tblGrid>
      <w:tr w:rsidR="00A910F8">
        <w:trPr>
          <w:trHeight w:val="255"/>
        </w:trPr>
        <w:tc>
          <w:tcPr>
            <w:tcW w:w="500"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专业</w:t>
            </w:r>
          </w:p>
        </w:tc>
        <w:tc>
          <w:tcPr>
            <w:tcW w:w="359" w:type="pct"/>
            <w:shd w:val="clear" w:color="auto" w:fill="auto"/>
            <w:noWrap/>
            <w:vAlign w:val="center"/>
          </w:tcPr>
          <w:p w:rsidR="00A910F8" w:rsidRDefault="00E07596">
            <w:pPr>
              <w:widowControl/>
              <w:spacing w:line="200" w:lineRule="exact"/>
              <w:rPr>
                <w:rFonts w:ascii="楷体" w:eastAsia="楷体" w:hAnsi="楷体" w:cs="楷体"/>
                <w:kern w:val="0"/>
                <w:sz w:val="24"/>
                <w:szCs w:val="24"/>
              </w:rPr>
            </w:pPr>
            <w:r>
              <w:rPr>
                <w:rFonts w:ascii="楷体" w:eastAsia="楷体" w:hAnsi="楷体" w:cs="楷体" w:hint="eastAsia"/>
                <w:kern w:val="0"/>
                <w:sz w:val="24"/>
                <w:szCs w:val="24"/>
              </w:rPr>
              <w:t>国有企业</w:t>
            </w:r>
          </w:p>
        </w:tc>
        <w:tc>
          <w:tcPr>
            <w:tcW w:w="276"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人数</w:t>
            </w:r>
          </w:p>
        </w:tc>
        <w:tc>
          <w:tcPr>
            <w:tcW w:w="242"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自主创业</w:t>
            </w:r>
          </w:p>
        </w:tc>
        <w:tc>
          <w:tcPr>
            <w:tcW w:w="242"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部队录用</w:t>
            </w:r>
          </w:p>
        </w:tc>
        <w:tc>
          <w:tcPr>
            <w:tcW w:w="301"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(02)考研人数</w:t>
            </w:r>
          </w:p>
        </w:tc>
        <w:tc>
          <w:tcPr>
            <w:tcW w:w="301"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(03)考双人数</w:t>
            </w:r>
          </w:p>
        </w:tc>
        <w:tc>
          <w:tcPr>
            <w:tcW w:w="242"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私营企业</w:t>
            </w:r>
          </w:p>
        </w:tc>
        <w:tc>
          <w:tcPr>
            <w:tcW w:w="307"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股份合作企业</w:t>
            </w:r>
          </w:p>
        </w:tc>
        <w:tc>
          <w:tcPr>
            <w:tcW w:w="242"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独资企业</w:t>
            </w:r>
          </w:p>
        </w:tc>
        <w:tc>
          <w:tcPr>
            <w:tcW w:w="242"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合资企业</w:t>
            </w:r>
          </w:p>
        </w:tc>
        <w:tc>
          <w:tcPr>
            <w:tcW w:w="275"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公务员录用</w:t>
            </w:r>
          </w:p>
        </w:tc>
        <w:tc>
          <w:tcPr>
            <w:tcW w:w="242"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其他企业</w:t>
            </w:r>
          </w:p>
        </w:tc>
        <w:tc>
          <w:tcPr>
            <w:tcW w:w="301"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(04)出国人数</w:t>
            </w:r>
          </w:p>
        </w:tc>
        <w:tc>
          <w:tcPr>
            <w:tcW w:w="334"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(12)专升本人数</w:t>
            </w:r>
          </w:p>
        </w:tc>
        <w:tc>
          <w:tcPr>
            <w:tcW w:w="242"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集体企业</w:t>
            </w:r>
          </w:p>
        </w:tc>
        <w:tc>
          <w:tcPr>
            <w:tcW w:w="349"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民营企业</w:t>
            </w:r>
          </w:p>
        </w:tc>
      </w:tr>
      <w:tr w:rsidR="00A910F8">
        <w:trPr>
          <w:trHeight w:val="255"/>
        </w:trPr>
        <w:tc>
          <w:tcPr>
            <w:tcW w:w="500"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国际经济与贸易</w:t>
            </w:r>
          </w:p>
        </w:tc>
        <w:tc>
          <w:tcPr>
            <w:tcW w:w="359" w:type="pct"/>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44</w:t>
            </w:r>
          </w:p>
        </w:tc>
        <w:tc>
          <w:tcPr>
            <w:tcW w:w="276"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300</w:t>
            </w:r>
          </w:p>
        </w:tc>
        <w:tc>
          <w:tcPr>
            <w:tcW w:w="242"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0</w:t>
            </w:r>
          </w:p>
        </w:tc>
        <w:tc>
          <w:tcPr>
            <w:tcW w:w="242" w:type="pct"/>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0</w:t>
            </w:r>
          </w:p>
        </w:tc>
        <w:tc>
          <w:tcPr>
            <w:tcW w:w="301"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11</w:t>
            </w:r>
          </w:p>
        </w:tc>
        <w:tc>
          <w:tcPr>
            <w:tcW w:w="301" w:type="pct"/>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3</w:t>
            </w:r>
          </w:p>
        </w:tc>
        <w:tc>
          <w:tcPr>
            <w:tcW w:w="242"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115</w:t>
            </w:r>
          </w:p>
        </w:tc>
        <w:tc>
          <w:tcPr>
            <w:tcW w:w="307"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14</w:t>
            </w:r>
          </w:p>
        </w:tc>
        <w:tc>
          <w:tcPr>
            <w:tcW w:w="242" w:type="pct"/>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4</w:t>
            </w:r>
          </w:p>
        </w:tc>
        <w:tc>
          <w:tcPr>
            <w:tcW w:w="242" w:type="pct"/>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9</w:t>
            </w:r>
          </w:p>
        </w:tc>
        <w:tc>
          <w:tcPr>
            <w:tcW w:w="275" w:type="pct"/>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4</w:t>
            </w:r>
          </w:p>
        </w:tc>
        <w:tc>
          <w:tcPr>
            <w:tcW w:w="242"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23</w:t>
            </w:r>
          </w:p>
        </w:tc>
        <w:tc>
          <w:tcPr>
            <w:tcW w:w="301" w:type="pct"/>
            <w:shd w:val="clear" w:color="auto" w:fill="auto"/>
            <w:noWrap/>
            <w:vAlign w:val="center"/>
          </w:tcPr>
          <w:p w:rsidR="00A910F8" w:rsidRDefault="00E07596">
            <w:pPr>
              <w:widowControl/>
              <w:spacing w:line="200" w:lineRule="exact"/>
              <w:jc w:val="center"/>
              <w:rPr>
                <w:rFonts w:ascii="楷体" w:eastAsia="楷体" w:hAnsi="楷体" w:cs="楷体"/>
                <w:kern w:val="0"/>
                <w:sz w:val="24"/>
                <w:szCs w:val="24"/>
              </w:rPr>
            </w:pPr>
            <w:r>
              <w:rPr>
                <w:rFonts w:ascii="楷体" w:eastAsia="楷体" w:hAnsi="楷体" w:cs="楷体" w:hint="eastAsia"/>
                <w:kern w:val="0"/>
                <w:sz w:val="24"/>
                <w:szCs w:val="24"/>
              </w:rPr>
              <w:t>26</w:t>
            </w:r>
          </w:p>
        </w:tc>
        <w:tc>
          <w:tcPr>
            <w:tcW w:w="334" w:type="pct"/>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0</w:t>
            </w:r>
          </w:p>
        </w:tc>
        <w:tc>
          <w:tcPr>
            <w:tcW w:w="242" w:type="pct"/>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1</w:t>
            </w:r>
          </w:p>
        </w:tc>
        <w:tc>
          <w:tcPr>
            <w:tcW w:w="349" w:type="pct"/>
            <w:shd w:val="clear" w:color="auto" w:fill="auto"/>
            <w:noWrap/>
            <w:vAlign w:val="center"/>
          </w:tcPr>
          <w:p w:rsidR="00A910F8" w:rsidRDefault="00E07596">
            <w:pPr>
              <w:widowControl/>
              <w:spacing w:line="200" w:lineRule="exact"/>
              <w:ind w:firstLine="200"/>
              <w:jc w:val="center"/>
              <w:rPr>
                <w:rFonts w:ascii="楷体" w:eastAsia="楷体" w:hAnsi="楷体" w:cs="楷体"/>
                <w:kern w:val="0"/>
                <w:sz w:val="24"/>
                <w:szCs w:val="24"/>
              </w:rPr>
            </w:pPr>
            <w:r>
              <w:rPr>
                <w:rFonts w:ascii="楷体" w:eastAsia="楷体" w:hAnsi="楷体" w:cs="楷体" w:hint="eastAsia"/>
                <w:kern w:val="0"/>
                <w:sz w:val="24"/>
                <w:szCs w:val="24"/>
              </w:rPr>
              <w:t>46</w:t>
            </w:r>
          </w:p>
        </w:tc>
      </w:tr>
    </w:tbl>
    <w:p w:rsidR="00A910F8" w:rsidRDefault="00E07596" w:rsidP="00D02887">
      <w:pPr>
        <w:widowControl/>
        <w:spacing w:line="500" w:lineRule="exact"/>
        <w:ind w:firstLineChars="200" w:firstLine="474"/>
        <w:jc w:val="center"/>
        <w:rPr>
          <w:rFonts w:ascii="楷体" w:eastAsia="楷体" w:hAnsi="楷体" w:cs="楷体"/>
          <w:b/>
          <w:kern w:val="0"/>
          <w:sz w:val="24"/>
          <w:szCs w:val="24"/>
        </w:rPr>
      </w:pPr>
      <w:r>
        <w:rPr>
          <w:rFonts w:ascii="楷体" w:eastAsia="楷体" w:hAnsi="楷体" w:cs="楷体" w:hint="eastAsia"/>
          <w:b/>
          <w:kern w:val="0"/>
          <w:sz w:val="24"/>
          <w:szCs w:val="24"/>
        </w:rPr>
        <w:t>表5-5  2020-2021学年毕业生就业去向细表</w:t>
      </w:r>
    </w:p>
    <w:p w:rsidR="00A910F8" w:rsidRDefault="00E07596">
      <w:pPr>
        <w:pStyle w:val="2"/>
        <w:spacing w:before="20" w:after="20" w:line="240" w:lineRule="auto"/>
        <w:rPr>
          <w:rFonts w:ascii="楷体" w:eastAsia="楷体" w:hAnsi="楷体" w:cs="楷体"/>
          <w:sz w:val="24"/>
          <w:szCs w:val="24"/>
        </w:rPr>
      </w:pPr>
      <w:bookmarkStart w:id="20" w:name="_Toc3374"/>
      <w:r>
        <w:rPr>
          <w:rFonts w:ascii="楷体" w:eastAsia="楷体" w:hAnsi="楷体" w:cs="楷体" w:hint="eastAsia"/>
          <w:sz w:val="24"/>
          <w:szCs w:val="24"/>
        </w:rPr>
        <w:t>（三）外部评价</w:t>
      </w:r>
      <w:bookmarkEnd w:id="20"/>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设置调研问卷，向本专业在校生、2021届毕业生、往届毕业生进行发放，了解学生对学校学习的体验与满意度、以及学校学习在多大程度上促进了学生的个人成长；</w:t>
      </w:r>
      <w:r>
        <w:rPr>
          <w:rFonts w:ascii="楷体" w:eastAsia="楷体" w:hAnsi="楷体" w:cs="楷体" w:hint="eastAsia"/>
          <w:color w:val="333333"/>
          <w:kern w:val="0"/>
          <w:sz w:val="24"/>
          <w:szCs w:val="24"/>
        </w:rPr>
        <w:lastRenderedPageBreak/>
        <w:t xml:space="preserve">另外，问卷同时也向学生的用人单位进行了发放，了解我们的学生毕业后的社会适应能力、专业水平与专业能力，从而间接地了解我们的教学成果。 </w:t>
      </w:r>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调查问卷的结果显示，用人单位对本专业的毕业生较为满意，学生对在学校的学习体验比较满意（见图5-1和图5-2），并对母校以及本专业发展提出了中肯建议。</w:t>
      </w:r>
    </w:p>
    <w:p w:rsidR="00A910F8" w:rsidRDefault="00E07596">
      <w:pPr>
        <w:spacing w:line="360" w:lineRule="auto"/>
        <w:ind w:firstLineChars="200" w:firstLine="472"/>
        <w:rPr>
          <w:rFonts w:ascii="楷体" w:eastAsia="楷体" w:hAnsi="楷体" w:cs="楷体"/>
          <w:sz w:val="24"/>
          <w:szCs w:val="24"/>
        </w:rPr>
      </w:pPr>
      <w:r>
        <w:rPr>
          <w:rFonts w:ascii="楷体" w:eastAsia="楷体" w:hAnsi="楷体" w:cs="楷体" w:hint="eastAsia"/>
          <w:noProof/>
          <w:sz w:val="24"/>
          <w:szCs w:val="24"/>
        </w:rPr>
        <w:drawing>
          <wp:inline distT="0" distB="0" distL="0" distR="0">
            <wp:extent cx="2362200" cy="2044700"/>
            <wp:effectExtent l="0" t="0" r="0" b="0"/>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62200" cy="2044700"/>
                    </a:xfrm>
                    <a:prstGeom prst="rect">
                      <a:avLst/>
                    </a:prstGeom>
                    <a:noFill/>
                    <a:ln>
                      <a:noFill/>
                    </a:ln>
                  </pic:spPr>
                </pic:pic>
              </a:graphicData>
            </a:graphic>
          </wp:inline>
        </w:drawing>
      </w:r>
      <w:r>
        <w:rPr>
          <w:rFonts w:ascii="楷体" w:eastAsia="楷体" w:hAnsi="楷体" w:cs="楷体" w:hint="eastAsia"/>
          <w:noProof/>
          <w:sz w:val="24"/>
          <w:szCs w:val="24"/>
        </w:rPr>
        <w:drawing>
          <wp:inline distT="0" distB="0" distL="0" distR="0">
            <wp:extent cx="2006600" cy="1917700"/>
            <wp:effectExtent l="0" t="0" r="0" b="6350"/>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06600" cy="1917700"/>
                    </a:xfrm>
                    <a:prstGeom prst="rect">
                      <a:avLst/>
                    </a:prstGeom>
                    <a:noFill/>
                    <a:ln>
                      <a:noFill/>
                    </a:ln>
                  </pic:spPr>
                </pic:pic>
              </a:graphicData>
            </a:graphic>
          </wp:inline>
        </w:drawing>
      </w:r>
    </w:p>
    <w:p w:rsidR="00A910F8" w:rsidRDefault="00E07596" w:rsidP="00D02887">
      <w:pPr>
        <w:spacing w:line="360" w:lineRule="auto"/>
        <w:ind w:firstLineChars="200" w:firstLine="474"/>
        <w:jc w:val="center"/>
        <w:rPr>
          <w:rFonts w:ascii="楷体" w:eastAsia="楷体" w:hAnsi="楷体" w:cs="楷体"/>
          <w:b/>
          <w:bCs/>
          <w:sz w:val="24"/>
          <w:szCs w:val="24"/>
        </w:rPr>
      </w:pPr>
      <w:r>
        <w:rPr>
          <w:rFonts w:ascii="楷体" w:eastAsia="楷体" w:hAnsi="楷体" w:cs="楷体" w:hint="eastAsia"/>
          <w:b/>
          <w:bCs/>
          <w:sz w:val="24"/>
          <w:szCs w:val="24"/>
        </w:rPr>
        <w:t>图5-1 总体满意度（左图为用人单位，右图为往届毕业生）</w:t>
      </w:r>
    </w:p>
    <w:p w:rsidR="00A910F8" w:rsidRDefault="00E07596">
      <w:pPr>
        <w:spacing w:line="360" w:lineRule="auto"/>
        <w:ind w:firstLineChars="200" w:firstLine="472"/>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noProof/>
          <w:sz w:val="24"/>
          <w:szCs w:val="24"/>
        </w:rPr>
        <w:drawing>
          <wp:inline distT="0" distB="0" distL="0" distR="0">
            <wp:extent cx="2032000" cy="1981200"/>
            <wp:effectExtent l="0" t="0" r="635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32000" cy="1981200"/>
                    </a:xfrm>
                    <a:prstGeom prst="rect">
                      <a:avLst/>
                    </a:prstGeom>
                    <a:noFill/>
                    <a:ln>
                      <a:noFill/>
                    </a:ln>
                  </pic:spPr>
                </pic:pic>
              </a:graphicData>
            </a:graphic>
          </wp:inline>
        </w:drawing>
      </w:r>
      <w:r>
        <w:rPr>
          <w:rFonts w:ascii="楷体" w:eastAsia="楷体" w:hAnsi="楷体" w:cs="楷体" w:hint="eastAsia"/>
          <w:sz w:val="24"/>
          <w:szCs w:val="24"/>
        </w:rPr>
        <w:t xml:space="preserve">      </w:t>
      </w:r>
      <w:r>
        <w:rPr>
          <w:rFonts w:ascii="楷体" w:eastAsia="楷体" w:hAnsi="楷体" w:cs="楷体" w:hint="eastAsia"/>
          <w:noProof/>
          <w:sz w:val="24"/>
          <w:szCs w:val="24"/>
        </w:rPr>
        <w:drawing>
          <wp:inline distT="0" distB="0" distL="0" distR="0">
            <wp:extent cx="2032000" cy="187960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32000" cy="1879600"/>
                    </a:xfrm>
                    <a:prstGeom prst="rect">
                      <a:avLst/>
                    </a:prstGeom>
                    <a:noFill/>
                    <a:ln>
                      <a:noFill/>
                    </a:ln>
                  </pic:spPr>
                </pic:pic>
              </a:graphicData>
            </a:graphic>
          </wp:inline>
        </w:drawing>
      </w:r>
    </w:p>
    <w:p w:rsidR="00A910F8" w:rsidRDefault="00E07596" w:rsidP="00D02887">
      <w:pPr>
        <w:spacing w:line="360" w:lineRule="auto"/>
        <w:ind w:firstLineChars="200" w:firstLine="474"/>
        <w:jc w:val="center"/>
        <w:rPr>
          <w:rFonts w:ascii="楷体" w:eastAsia="楷体" w:hAnsi="楷体" w:cs="楷体"/>
          <w:b/>
          <w:bCs/>
          <w:sz w:val="24"/>
          <w:szCs w:val="24"/>
        </w:rPr>
      </w:pPr>
      <w:r>
        <w:rPr>
          <w:rFonts w:ascii="楷体" w:eastAsia="楷体" w:hAnsi="楷体" w:cs="楷体" w:hint="eastAsia"/>
          <w:b/>
          <w:bCs/>
          <w:sz w:val="24"/>
          <w:szCs w:val="24"/>
        </w:rPr>
        <w:t>图5-2总体满意度（左图为2021届毕业生，右图为在校生）</w:t>
      </w:r>
    </w:p>
    <w:p w:rsidR="00A910F8" w:rsidRDefault="00E07596">
      <w:pPr>
        <w:widowControl/>
        <w:shd w:val="clear" w:color="auto" w:fill="FFFFFF"/>
        <w:spacing w:line="500" w:lineRule="exact"/>
        <w:ind w:firstLineChars="200" w:firstLine="472"/>
        <w:rPr>
          <w:rFonts w:ascii="楷体" w:eastAsia="楷体" w:hAnsi="楷体" w:cs="楷体"/>
          <w:color w:val="333333"/>
          <w:kern w:val="0"/>
          <w:sz w:val="24"/>
          <w:szCs w:val="24"/>
        </w:rPr>
      </w:pPr>
      <w:r>
        <w:rPr>
          <w:rFonts w:ascii="楷体" w:eastAsia="楷体" w:hAnsi="楷体" w:cs="楷体" w:hint="eastAsia"/>
          <w:color w:val="333333"/>
          <w:kern w:val="0"/>
          <w:sz w:val="24"/>
          <w:szCs w:val="24"/>
        </w:rPr>
        <w:t>用人单位对毕业生在个人能力总体表现的评价为4.25分（总分为5分），具体分项的评价见图5-3。从数据统计结果来看，本专业毕业生在自我管理与自主学习（4.45分）、团队协作（4.35）、语言表达和人际沟通（4.35）、执行能力（4.3）、分析能力（4.3）等方面的能力表现较为突出，拥有较高的认可度。可见，本专业毕业生的社会竞争优势较强，获得了社会和企业对毕业生的高度认可。</w:t>
      </w:r>
    </w:p>
    <w:p w:rsidR="00A910F8" w:rsidRDefault="00E07596">
      <w:pPr>
        <w:spacing w:line="360" w:lineRule="auto"/>
        <w:ind w:firstLineChars="200" w:firstLine="472"/>
        <w:jc w:val="left"/>
        <w:rPr>
          <w:rFonts w:ascii="楷体" w:eastAsia="楷体" w:hAnsi="楷体" w:cs="楷体"/>
          <w:sz w:val="24"/>
          <w:szCs w:val="24"/>
        </w:rPr>
      </w:pPr>
      <w:r>
        <w:rPr>
          <w:rFonts w:ascii="楷体" w:eastAsia="楷体" w:hAnsi="楷体" w:cs="楷体" w:hint="eastAsia"/>
          <w:noProof/>
          <w:sz w:val="24"/>
          <w:szCs w:val="24"/>
        </w:rPr>
        <w:lastRenderedPageBreak/>
        <w:drawing>
          <wp:inline distT="0" distB="0" distL="0" distR="0">
            <wp:extent cx="5283200" cy="2476500"/>
            <wp:effectExtent l="0" t="0" r="0" b="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rrowheads="1"/>
                    </pic:cNvPicPr>
                  </pic:nvPicPr>
                  <pic:blipFill>
                    <a:blip r:embed="rId18">
                      <a:extLst>
                        <a:ext uri="{28A0092B-C50C-407E-A947-70E740481C1C}">
                          <a14:useLocalDpi xmlns:a14="http://schemas.microsoft.com/office/drawing/2010/main" val="0"/>
                        </a:ext>
                      </a:extLst>
                    </a:blip>
                    <a:srcRect b="-50"/>
                    <a:stretch>
                      <a:fillRect/>
                    </a:stretch>
                  </pic:blipFill>
                  <pic:spPr>
                    <a:xfrm>
                      <a:off x="0" y="0"/>
                      <a:ext cx="5283200" cy="2476500"/>
                    </a:xfrm>
                    <a:prstGeom prst="rect">
                      <a:avLst/>
                    </a:prstGeom>
                    <a:noFill/>
                    <a:ln>
                      <a:noFill/>
                    </a:ln>
                  </pic:spPr>
                </pic:pic>
              </a:graphicData>
            </a:graphic>
          </wp:inline>
        </w:drawing>
      </w:r>
    </w:p>
    <w:p w:rsidR="00A910F8" w:rsidRDefault="00E07596" w:rsidP="00D02887">
      <w:pPr>
        <w:spacing w:line="360" w:lineRule="auto"/>
        <w:ind w:firstLineChars="200" w:firstLine="474"/>
        <w:jc w:val="center"/>
        <w:rPr>
          <w:rFonts w:ascii="楷体" w:eastAsia="楷体" w:hAnsi="楷体" w:cs="楷体"/>
          <w:b/>
          <w:bCs/>
          <w:sz w:val="24"/>
          <w:szCs w:val="24"/>
        </w:rPr>
      </w:pPr>
      <w:r>
        <w:rPr>
          <w:rFonts w:ascii="楷体" w:eastAsia="楷体" w:hAnsi="楷体" w:cs="楷体" w:hint="eastAsia"/>
          <w:b/>
          <w:bCs/>
          <w:sz w:val="24"/>
          <w:szCs w:val="24"/>
        </w:rPr>
        <w:t>图5-3用人单位对本专业毕业生能力总体表现的评价（满分为5分）</w:t>
      </w:r>
    </w:p>
    <w:p w:rsidR="00A910F8" w:rsidRDefault="00E07596">
      <w:pPr>
        <w:pStyle w:val="1"/>
        <w:spacing w:before="20" w:after="20" w:line="360" w:lineRule="auto"/>
        <w:rPr>
          <w:rFonts w:ascii="楷体" w:eastAsia="楷体" w:hAnsi="楷体" w:cs="楷体"/>
          <w:sz w:val="28"/>
          <w:szCs w:val="28"/>
        </w:rPr>
      </w:pPr>
      <w:bookmarkStart w:id="21" w:name="_Toc13105"/>
      <w:r>
        <w:rPr>
          <w:rFonts w:ascii="楷体" w:eastAsia="楷体" w:hAnsi="楷体" w:cs="楷体" w:hint="eastAsia"/>
          <w:sz w:val="28"/>
          <w:szCs w:val="28"/>
        </w:rPr>
        <w:t>六、特色发展与案例：</w:t>
      </w:r>
      <w:r>
        <w:rPr>
          <w:rFonts w:ascii="楷体" w:eastAsia="楷体" w:hAnsi="楷体" w:cs="楷体" w:hint="eastAsia"/>
          <w:bCs/>
          <w:color w:val="000000"/>
          <w:kern w:val="0"/>
          <w:sz w:val="28"/>
          <w:szCs w:val="28"/>
        </w:rPr>
        <w:t>《国际商务谈判》入选国家级一流本科课程</w:t>
      </w:r>
      <w:bookmarkEnd w:id="21"/>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张燕副教授负责的《国际商务谈判》课程自2008年开课，截至到目前已开设15轮，共有12届学生参与过课程学习。2015年，课程定位于“培养学生商务实战能力”，讲授谈判理论的同时，增加了谈判实务训练。2017年，课程初步探索混合式教学，选择了31个较难的知识点制作系列微视频，并上传到课程平台，同时延长线下模拟实训课时，鼓励学生主动参与学习。2018年，课程正式实施“线上线下混合式教学”，依托线上平台，引导学生课前自主观看微视频并完成入门测验，教师根据学生线上反馈成绩设计线下案例教学和模拟实训。2019年，课程获得FD-QM示范在线课程认证，并入选上海市优质在线课程。2020年正式获批首批国家级一流本科课程。</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国际商务谈判》课程确定以“学生为主”的教学理念，遵从学生的认知顺序并结合大学生碎片化学习习惯，明确混合教学模式中的“变”与“不变”。不仅关注商务理论动态发展，也关注经典谈判案例和企业实务发展，做到课程体系的系统性、实践性和前沿性。课程团队围绕学生自主学习和教学模式下功夫，积极探索了一套“线上微视频+入门测+线下授课+在线讨论+在线测验+互评作业+谈判模拟”的教学系列组合拳。课程突出“应用性”、“实务性”、“操作性”特征，通过课堂边学边模拟讨</w:t>
      </w:r>
      <w:r>
        <w:rPr>
          <w:rFonts w:ascii="楷体" w:eastAsia="楷体" w:hAnsi="楷体" w:cs="楷体" w:hint="eastAsia"/>
          <w:color w:val="000000"/>
          <w:kern w:val="0"/>
          <w:sz w:val="24"/>
          <w:szCs w:val="24"/>
        </w:rPr>
        <w:lastRenderedPageBreak/>
        <w:t>论的教学方法，帮助学生熟悉国际商务谈判的基本知识和策略技巧，加深学生对我国当代国际商务谈判的了解，正确认识中国经济发展的进程和内在规律，提高学生的价值观、道德观和责任感，增强学生的爱国主义情感和参与社会主义现代化的使命感，提高学生的学习能力和学术能力，为其他应用课程的学习打下坚实基础。</w:t>
      </w:r>
    </w:p>
    <w:p w:rsidR="00A910F8" w:rsidRDefault="00E07596">
      <w:pPr>
        <w:widowControl/>
        <w:spacing w:line="500" w:lineRule="exact"/>
        <w:ind w:firstLineChars="200" w:firstLine="472"/>
        <w:rPr>
          <w:rFonts w:ascii="楷体" w:eastAsia="楷体" w:hAnsi="楷体" w:cs="楷体"/>
          <w:color w:val="000000"/>
          <w:kern w:val="0"/>
          <w:sz w:val="24"/>
          <w:szCs w:val="24"/>
        </w:rPr>
      </w:pPr>
      <w:r>
        <w:rPr>
          <w:rFonts w:ascii="楷体" w:eastAsia="楷体" w:hAnsi="楷体" w:cs="楷体" w:hint="eastAsia"/>
          <w:color w:val="000000"/>
          <w:kern w:val="0"/>
          <w:sz w:val="24"/>
          <w:szCs w:val="24"/>
        </w:rPr>
        <w:t>2018年《国际商务谈判》课程实施了首次混合式教学，通过对比同时授课的两个班级，发现推行混合式教学的班级相较于“教师主动型”班级，学生的满意度、平均成绩和学习行为更好，说明混合式教学有助于学生拓展学习时间、打开学习思路，深度参与谈判理论和谈判策略的理解和消化，并积极转化为课堂模拟中的谈判技巧和技能的提升。从同行评价来看，同行领导及校外教师给予课程很大肯定，认可课程团队在线上互动和培养学生自主学习方面的努力尝试和成效，也对课程教学设计提出很多可行建议。</w:t>
      </w:r>
    </w:p>
    <w:p w:rsidR="00A910F8" w:rsidRDefault="00E07596">
      <w:pPr>
        <w:pStyle w:val="1"/>
        <w:spacing w:before="20" w:after="20" w:line="360" w:lineRule="auto"/>
        <w:rPr>
          <w:rFonts w:ascii="楷体" w:eastAsia="楷体" w:hAnsi="楷体" w:cs="楷体"/>
          <w:sz w:val="28"/>
          <w:szCs w:val="28"/>
        </w:rPr>
      </w:pPr>
      <w:bookmarkStart w:id="22" w:name="_Toc25783"/>
      <w:r>
        <w:rPr>
          <w:rFonts w:ascii="楷体" w:eastAsia="楷体" w:hAnsi="楷体" w:cs="楷体" w:hint="eastAsia"/>
          <w:sz w:val="28"/>
          <w:szCs w:val="28"/>
        </w:rPr>
        <w:t>七、问题与对策</w:t>
      </w:r>
      <w:bookmarkEnd w:id="22"/>
    </w:p>
    <w:p w:rsidR="00A910F8" w:rsidRDefault="00E07596">
      <w:pPr>
        <w:pStyle w:val="2"/>
        <w:spacing w:before="20" w:after="20" w:line="240" w:lineRule="auto"/>
        <w:rPr>
          <w:rFonts w:ascii="楷体" w:eastAsia="楷体" w:hAnsi="楷体" w:cs="楷体"/>
          <w:sz w:val="24"/>
          <w:szCs w:val="24"/>
        </w:rPr>
      </w:pPr>
      <w:bookmarkStart w:id="23" w:name="_Toc20965"/>
      <w:r>
        <w:rPr>
          <w:rFonts w:ascii="楷体" w:eastAsia="楷体" w:hAnsi="楷体" w:cs="楷体" w:hint="eastAsia"/>
          <w:sz w:val="24"/>
          <w:szCs w:val="24"/>
        </w:rPr>
        <w:t>（一）存在的问题</w:t>
      </w:r>
      <w:bookmarkEnd w:id="23"/>
    </w:p>
    <w:p w:rsidR="00A910F8" w:rsidRDefault="00E07596" w:rsidP="00D02887">
      <w:pPr>
        <w:spacing w:line="500" w:lineRule="exact"/>
        <w:ind w:firstLineChars="200" w:firstLine="474"/>
        <w:rPr>
          <w:rFonts w:ascii="楷体" w:eastAsia="楷体" w:hAnsi="楷体" w:cs="楷体"/>
          <w:b/>
          <w:bCs/>
          <w:sz w:val="24"/>
          <w:szCs w:val="24"/>
        </w:rPr>
      </w:pPr>
      <w:r>
        <w:rPr>
          <w:rFonts w:ascii="楷体" w:eastAsia="楷体" w:hAnsi="楷体" w:cs="楷体" w:hint="eastAsia"/>
          <w:b/>
          <w:bCs/>
          <w:sz w:val="24"/>
          <w:szCs w:val="24"/>
        </w:rPr>
        <w:t>1.师资队伍建设有待加强</w:t>
      </w:r>
    </w:p>
    <w:p w:rsidR="00A910F8" w:rsidRDefault="00E07596">
      <w:pPr>
        <w:spacing w:line="500" w:lineRule="exact"/>
        <w:ind w:firstLineChars="200" w:firstLine="472"/>
        <w:rPr>
          <w:rFonts w:ascii="楷体" w:eastAsia="楷体" w:hAnsi="楷体" w:cs="楷体"/>
          <w:sz w:val="24"/>
          <w:szCs w:val="24"/>
        </w:rPr>
      </w:pPr>
      <w:bookmarkStart w:id="24" w:name="_Toc510012558"/>
      <w:r>
        <w:rPr>
          <w:rFonts w:ascii="楷体" w:eastAsia="楷体" w:hAnsi="楷体" w:cs="楷体" w:hint="eastAsia"/>
          <w:sz w:val="24"/>
          <w:szCs w:val="24"/>
        </w:rPr>
        <w:t>今后本专业仍将加大教师外派出国访学、到实践部门挂职和参加各种培训的力度，现有师资队伍仍需要进一步扩充。同时，教师参与产学研践习的人次要不断增加。由于受到教学工作量等因素的影响，教师进行产学研践习的安排仍显不足，今后需要结合应用型人才培养的要求进行弹性教学，加强产学研践习。此外，兼职教师队伍对于应用型本科高校的专业建设、应用型人才培养等方面有重要的提升作用，也是改善师资队伍结构、提高综合实力的重要力量，目前本专业兼职教师的聘任力度稍显不足，今后要进一步加强。</w:t>
      </w:r>
    </w:p>
    <w:bookmarkEnd w:id="24"/>
    <w:p w:rsidR="00A910F8" w:rsidRDefault="00E07596" w:rsidP="00D02887">
      <w:pPr>
        <w:spacing w:line="500" w:lineRule="exact"/>
        <w:ind w:firstLineChars="200" w:firstLine="474"/>
        <w:rPr>
          <w:rFonts w:ascii="楷体" w:eastAsia="楷体" w:hAnsi="楷体" w:cs="楷体"/>
          <w:b/>
          <w:bCs/>
          <w:sz w:val="24"/>
          <w:szCs w:val="24"/>
        </w:rPr>
      </w:pPr>
      <w:r>
        <w:rPr>
          <w:rFonts w:ascii="楷体" w:eastAsia="楷体" w:hAnsi="楷体" w:cs="楷体" w:hint="eastAsia"/>
          <w:b/>
          <w:bCs/>
          <w:sz w:val="24"/>
          <w:szCs w:val="24"/>
        </w:rPr>
        <w:t>2.科研反哺教学需要不断深入</w:t>
      </w:r>
    </w:p>
    <w:p w:rsidR="00A910F8" w:rsidRDefault="00E07596">
      <w:pPr>
        <w:spacing w:line="500" w:lineRule="exact"/>
        <w:ind w:firstLineChars="200" w:firstLine="472"/>
        <w:rPr>
          <w:rFonts w:ascii="楷体" w:eastAsia="楷体" w:hAnsi="楷体" w:cs="楷体"/>
          <w:sz w:val="24"/>
          <w:szCs w:val="24"/>
        </w:rPr>
      </w:pPr>
      <w:bookmarkStart w:id="25" w:name="_Toc510012560"/>
      <w:r>
        <w:rPr>
          <w:rFonts w:ascii="楷体" w:eastAsia="楷体" w:hAnsi="楷体" w:cs="楷体" w:hint="eastAsia"/>
          <w:sz w:val="24"/>
          <w:szCs w:val="24"/>
        </w:rPr>
        <w:t>尽管国际经济与贸易专业取得了一批科研成果，出版了一些教材，发表了一些科研论文，但高层次科研成果对教学的转化仍需进一步加强；专任教师较少在国际期刊或国内权威期刊发表论文。此外，教师在教学改革方面的研究论文和高层次教改课题</w:t>
      </w:r>
      <w:r>
        <w:rPr>
          <w:rFonts w:ascii="楷体" w:eastAsia="楷体" w:hAnsi="楷体" w:cs="楷体" w:hint="eastAsia"/>
          <w:sz w:val="24"/>
          <w:szCs w:val="24"/>
        </w:rPr>
        <w:lastRenderedPageBreak/>
        <w:t>数量偏少，对教育教学规律的研究投入需要不断增加。</w:t>
      </w:r>
    </w:p>
    <w:p w:rsidR="00A910F8" w:rsidRDefault="00E07596" w:rsidP="00D02887">
      <w:pPr>
        <w:spacing w:line="500" w:lineRule="exact"/>
        <w:ind w:firstLineChars="200" w:firstLine="474"/>
        <w:rPr>
          <w:rFonts w:ascii="楷体" w:eastAsia="楷体" w:hAnsi="楷体" w:cs="楷体"/>
          <w:b/>
          <w:bCs/>
          <w:sz w:val="24"/>
          <w:szCs w:val="24"/>
        </w:rPr>
      </w:pPr>
      <w:r>
        <w:rPr>
          <w:rFonts w:ascii="楷体" w:eastAsia="楷体" w:hAnsi="楷体" w:cs="楷体" w:hint="eastAsia"/>
          <w:b/>
          <w:bCs/>
          <w:sz w:val="24"/>
          <w:szCs w:val="24"/>
        </w:rPr>
        <w:t>3.实践教学效果</w:t>
      </w:r>
      <w:bookmarkEnd w:id="25"/>
      <w:r>
        <w:rPr>
          <w:rFonts w:ascii="楷体" w:eastAsia="楷体" w:hAnsi="楷体" w:cs="楷体" w:hint="eastAsia"/>
          <w:b/>
          <w:bCs/>
          <w:sz w:val="24"/>
          <w:szCs w:val="24"/>
        </w:rPr>
        <w:t>仍需提升</w:t>
      </w:r>
    </w:p>
    <w:p w:rsidR="00A910F8" w:rsidRDefault="00E07596">
      <w:pPr>
        <w:spacing w:line="500" w:lineRule="exact"/>
        <w:ind w:firstLineChars="200" w:firstLine="472"/>
        <w:rPr>
          <w:rFonts w:ascii="楷体" w:eastAsia="楷体" w:hAnsi="楷体" w:cs="楷体"/>
          <w:sz w:val="24"/>
          <w:szCs w:val="24"/>
        </w:rPr>
      </w:pPr>
      <w:bookmarkStart w:id="26" w:name="_Toc510012561"/>
      <w:r>
        <w:rPr>
          <w:rFonts w:ascii="楷体" w:eastAsia="楷体" w:hAnsi="楷体" w:cs="楷体" w:hint="eastAsia"/>
          <w:sz w:val="24"/>
          <w:szCs w:val="24"/>
        </w:rPr>
        <w:t>国际经济与贸易专业实习基地数量上已经有了较好的发展，但是与实习基地的合作深度和广度还需要进一步加强。目前，教师深入企业进行产学研践习的比例与应用型本科建设要求仍有一定差距，企业参与教学改革的程度还不够深入。同时，与实训项目对口的实习单位还比较少。目前国贸专业的实习单位都是以外贸为主要业务的企业，虽然都有自己的业务和优点，但是落实到具体的实训项目上，对口单位还是比较缺乏，如海关实务、货物保险等业务。与实习单位的合作层次仍需要进一步提升，需要继续增加对口企业的数量。</w:t>
      </w:r>
    </w:p>
    <w:p w:rsidR="00A910F8" w:rsidRDefault="00E07596" w:rsidP="00D02887">
      <w:pPr>
        <w:spacing w:line="500" w:lineRule="exact"/>
        <w:ind w:firstLineChars="200" w:firstLine="474"/>
        <w:rPr>
          <w:rFonts w:ascii="楷体" w:eastAsia="楷体" w:hAnsi="楷体" w:cs="楷体"/>
          <w:b/>
          <w:bCs/>
          <w:sz w:val="24"/>
          <w:szCs w:val="24"/>
        </w:rPr>
      </w:pPr>
      <w:r>
        <w:rPr>
          <w:rFonts w:ascii="楷体" w:eastAsia="楷体" w:hAnsi="楷体" w:cs="楷体" w:hint="eastAsia"/>
          <w:b/>
          <w:bCs/>
          <w:sz w:val="24"/>
          <w:szCs w:val="24"/>
        </w:rPr>
        <w:t>4.教学改革力度</w:t>
      </w:r>
      <w:bookmarkEnd w:id="26"/>
      <w:r w:rsidR="003B4722">
        <w:rPr>
          <w:rFonts w:ascii="楷体" w:eastAsia="楷体" w:hAnsi="楷体" w:cs="楷体" w:hint="eastAsia"/>
          <w:b/>
          <w:bCs/>
          <w:sz w:val="24"/>
          <w:szCs w:val="24"/>
        </w:rPr>
        <w:t>仍需加大</w:t>
      </w:r>
    </w:p>
    <w:p w:rsidR="00A910F8" w:rsidRDefault="00E07596">
      <w:pPr>
        <w:spacing w:line="500" w:lineRule="exact"/>
        <w:ind w:firstLineChars="200" w:firstLine="472"/>
        <w:rPr>
          <w:rFonts w:ascii="楷体" w:eastAsia="楷体" w:hAnsi="楷体" w:cs="楷体"/>
          <w:sz w:val="24"/>
          <w:szCs w:val="24"/>
        </w:rPr>
      </w:pPr>
      <w:r>
        <w:rPr>
          <w:rFonts w:ascii="楷体" w:eastAsia="楷体" w:hAnsi="楷体" w:cs="楷体" w:hint="eastAsia"/>
          <w:sz w:val="24"/>
          <w:szCs w:val="24"/>
        </w:rPr>
        <w:t>近年来本专业在本科教学改革方面有了长足的进步，然而在贯彻“厚基础、宽口径、重应用、国际化”的培养目标方面，依然存在一定的差距。因此，为了强化对学生创新型思维能力的培养，激发学生对学术探究和实践历练的热情，扩展学生知识面、提高学生的综合素质，进一步推进本科教学改革成为重要的环节。此外，课程资源还存在较大的优化空间，课程设置和教学内容的更新方面依然要不断进步，教学资源需要进一步完善。部分课程建立起了案例库、习题库，但是配套网络课程资源仍不够丰富,如目前比较流行的慕课、翻转课堂等教学方式的应用还不够普遍，网络教学资源有待补充和加强。</w:t>
      </w:r>
    </w:p>
    <w:p w:rsidR="00A910F8" w:rsidRDefault="00E07596">
      <w:pPr>
        <w:pStyle w:val="2"/>
        <w:spacing w:before="20" w:after="20" w:line="240" w:lineRule="auto"/>
        <w:rPr>
          <w:rFonts w:ascii="楷体" w:eastAsia="楷体" w:hAnsi="楷体" w:cs="楷体"/>
          <w:sz w:val="24"/>
          <w:szCs w:val="24"/>
        </w:rPr>
      </w:pPr>
      <w:bookmarkStart w:id="27" w:name="_Toc531595236"/>
      <w:bookmarkStart w:id="28" w:name="_Toc32718"/>
      <w:r>
        <w:rPr>
          <w:rFonts w:ascii="楷体" w:eastAsia="楷体" w:hAnsi="楷体" w:cs="楷体" w:hint="eastAsia"/>
          <w:sz w:val="24"/>
          <w:szCs w:val="24"/>
        </w:rPr>
        <w:t>（二）发展建议</w:t>
      </w:r>
      <w:bookmarkEnd w:id="27"/>
      <w:bookmarkEnd w:id="28"/>
    </w:p>
    <w:p w:rsidR="00A910F8" w:rsidRDefault="00E07596">
      <w:pPr>
        <w:spacing w:line="500" w:lineRule="exact"/>
        <w:ind w:firstLineChars="200" w:firstLine="472"/>
        <w:rPr>
          <w:rFonts w:ascii="楷体" w:eastAsia="楷体" w:hAnsi="楷体" w:cs="楷体"/>
          <w:sz w:val="24"/>
          <w:szCs w:val="24"/>
        </w:rPr>
      </w:pPr>
      <w:r>
        <w:rPr>
          <w:rFonts w:ascii="楷体" w:eastAsia="楷体" w:hAnsi="楷体" w:cs="楷体" w:hint="eastAsia"/>
          <w:sz w:val="24"/>
          <w:szCs w:val="24"/>
        </w:rPr>
        <w:t>目前，本专业在师资队伍建设、应用型人才培养等方面取得了一些建设成效，人才培养质量稳步提升，在人才培养模式、人才培养机制等方面进行了探索与创新，也取得了一些建设成效。但是，随着社会经济不断发展进步，对应用型人才的培养也提出了新的更高要求。针对上述存在的问题，国际经济与贸易专业在今后的办学过程中应采取以下对策及改进措施：</w:t>
      </w:r>
    </w:p>
    <w:p w:rsidR="00A910F8" w:rsidRDefault="00E07596" w:rsidP="00D02887">
      <w:pPr>
        <w:spacing w:line="500" w:lineRule="exact"/>
        <w:ind w:firstLineChars="220" w:firstLine="521"/>
        <w:rPr>
          <w:rFonts w:ascii="楷体" w:eastAsia="楷体" w:hAnsi="楷体" w:cs="楷体"/>
          <w:b/>
          <w:sz w:val="24"/>
          <w:szCs w:val="24"/>
        </w:rPr>
      </w:pPr>
      <w:bookmarkStart w:id="29" w:name="_Toc510012563"/>
      <w:r>
        <w:rPr>
          <w:rFonts w:ascii="楷体" w:eastAsia="楷体" w:hAnsi="楷体" w:cs="楷体" w:hint="eastAsia"/>
          <w:b/>
          <w:sz w:val="24"/>
          <w:szCs w:val="24"/>
        </w:rPr>
        <w:t>1.加强师资队伍建设，优化师资队伍结构</w:t>
      </w:r>
      <w:bookmarkEnd w:id="29"/>
    </w:p>
    <w:p w:rsidR="00A910F8" w:rsidRDefault="00E07596">
      <w:pPr>
        <w:spacing w:line="500" w:lineRule="exact"/>
        <w:ind w:firstLineChars="200" w:firstLine="472"/>
        <w:rPr>
          <w:rFonts w:ascii="楷体" w:eastAsia="楷体" w:hAnsi="楷体" w:cs="楷体"/>
          <w:sz w:val="24"/>
          <w:szCs w:val="24"/>
        </w:rPr>
      </w:pPr>
      <w:r>
        <w:rPr>
          <w:rFonts w:ascii="楷体" w:eastAsia="楷体" w:hAnsi="楷体" w:cs="楷体" w:hint="eastAsia"/>
          <w:sz w:val="24"/>
          <w:szCs w:val="24"/>
        </w:rPr>
        <w:t>在现有基础上，加大宣传力度，发动广大教师积极利用各种学术交流机会介绍学</w:t>
      </w:r>
      <w:r>
        <w:rPr>
          <w:rFonts w:ascii="楷体" w:eastAsia="楷体" w:hAnsi="楷体" w:cs="楷体" w:hint="eastAsia"/>
          <w:sz w:val="24"/>
          <w:szCs w:val="24"/>
        </w:rPr>
        <w:lastRenderedPageBreak/>
        <w:t>校的人才招聘计划及待遇，大力引进优秀师资力量，进一步扩大师资队伍的规模。在引进师资时，优先引进具有海外留学背景的高职称、高学历人才。重点引进应用型专业发展建设需要的专业带头人、高技能人才。用足用好学校的人才引进政策，加大人才的柔性引进力度。进一步挖掘社会资源，与行业企业建立稳固联系，继续聘请企业、政府的高管或专家作为兼职教授，为学生开设专业课程或举办学术讲座和报告。同时积极与企业合作，加强专兼结合的教学团队建设，聘请具有丰富实践经验的企业专业人员担任兼职实训教师。通过协调排课、平衡工作量核算等方式鼓励教师前往相关企业进行产学研践习，提高教师的实践教学水平。</w:t>
      </w:r>
    </w:p>
    <w:p w:rsidR="00A910F8" w:rsidRDefault="00E07596" w:rsidP="00D02887">
      <w:pPr>
        <w:spacing w:line="500" w:lineRule="exact"/>
        <w:ind w:firstLineChars="220" w:firstLine="521"/>
        <w:rPr>
          <w:rFonts w:ascii="楷体" w:eastAsia="楷体" w:hAnsi="楷体" w:cs="楷体"/>
          <w:b/>
          <w:sz w:val="24"/>
          <w:szCs w:val="24"/>
        </w:rPr>
      </w:pPr>
      <w:bookmarkStart w:id="30" w:name="_Toc510012565"/>
      <w:r>
        <w:rPr>
          <w:rFonts w:ascii="楷体" w:eastAsia="楷体" w:hAnsi="楷体" w:cs="楷体" w:hint="eastAsia"/>
          <w:b/>
          <w:sz w:val="24"/>
          <w:szCs w:val="24"/>
        </w:rPr>
        <w:t>2.发挥科研团队和教研团队</w:t>
      </w:r>
      <w:bookmarkEnd w:id="30"/>
      <w:r w:rsidR="003B4722">
        <w:rPr>
          <w:rFonts w:ascii="楷体" w:eastAsia="楷体" w:hAnsi="楷体" w:cs="楷体" w:hint="eastAsia"/>
          <w:b/>
          <w:sz w:val="24"/>
          <w:szCs w:val="24"/>
        </w:rPr>
        <w:t>的作用，推进教学成果</w:t>
      </w:r>
      <w:r>
        <w:rPr>
          <w:rFonts w:ascii="楷体" w:eastAsia="楷体" w:hAnsi="楷体" w:cs="楷体" w:hint="eastAsia"/>
          <w:b/>
          <w:sz w:val="24"/>
          <w:szCs w:val="24"/>
        </w:rPr>
        <w:t>转化</w:t>
      </w:r>
    </w:p>
    <w:p w:rsidR="00A910F8" w:rsidRDefault="00E07596">
      <w:pPr>
        <w:spacing w:line="500" w:lineRule="exact"/>
        <w:ind w:firstLineChars="200" w:firstLine="472"/>
        <w:rPr>
          <w:rFonts w:ascii="楷体" w:eastAsia="楷体" w:hAnsi="楷体" w:cs="楷体"/>
          <w:sz w:val="24"/>
          <w:szCs w:val="24"/>
        </w:rPr>
      </w:pPr>
      <w:r>
        <w:rPr>
          <w:rFonts w:ascii="楷体" w:eastAsia="楷体" w:hAnsi="楷体" w:cs="楷体" w:hint="eastAsia"/>
          <w:sz w:val="24"/>
          <w:szCs w:val="24"/>
        </w:rPr>
        <w:t>加大现有的科研团队和教学团队的建设力度，积极推进已组建的国际贸易理论教学团队、国际贸易实务教学团队、国际经济学（全英）基础教学和国际投资学基础教学团队的建设和各项工作的开展；结合系部教学研讨、集体备课等活动加强教学团队建设，以教学团队为单位围绕教学研究、教研成果的转化展开针对性讨论；继续加强对其他高校专业教研活动的调研，树立教学与科研并重的思想，二者相得益彰。努力实现以教学推动科研，以科研促进教学，形成教学与科研的良性互动关系，进一步提高教学成果的数量和质量，推进科研成果向教学成果的转化。</w:t>
      </w:r>
    </w:p>
    <w:p w:rsidR="00A910F8" w:rsidRDefault="00E07596" w:rsidP="00D02887">
      <w:pPr>
        <w:spacing w:line="500" w:lineRule="exact"/>
        <w:ind w:firstLineChars="220" w:firstLine="521"/>
        <w:rPr>
          <w:rFonts w:ascii="楷体" w:eastAsia="楷体" w:hAnsi="楷体" w:cs="楷体"/>
          <w:b/>
          <w:sz w:val="24"/>
          <w:szCs w:val="24"/>
        </w:rPr>
      </w:pPr>
      <w:bookmarkStart w:id="31" w:name="_Toc510012566"/>
      <w:r>
        <w:rPr>
          <w:rFonts w:ascii="楷体" w:eastAsia="楷体" w:hAnsi="楷体" w:cs="楷体" w:hint="eastAsia"/>
          <w:b/>
          <w:sz w:val="24"/>
          <w:szCs w:val="24"/>
        </w:rPr>
        <w:t>3.</w:t>
      </w:r>
      <w:r w:rsidR="003B4722">
        <w:rPr>
          <w:rFonts w:ascii="楷体" w:eastAsia="楷体" w:hAnsi="楷体" w:cs="楷体" w:hint="eastAsia"/>
          <w:b/>
          <w:sz w:val="24"/>
          <w:szCs w:val="24"/>
        </w:rPr>
        <w:t>创新校企合作模式，提高合作</w:t>
      </w:r>
      <w:r>
        <w:rPr>
          <w:rFonts w:ascii="楷体" w:eastAsia="楷体" w:hAnsi="楷体" w:cs="楷体" w:hint="eastAsia"/>
          <w:b/>
          <w:sz w:val="24"/>
          <w:szCs w:val="24"/>
        </w:rPr>
        <w:t>深度与广度</w:t>
      </w:r>
      <w:bookmarkEnd w:id="31"/>
    </w:p>
    <w:p w:rsidR="00A910F8" w:rsidRDefault="00E07596">
      <w:pPr>
        <w:spacing w:line="500" w:lineRule="exact"/>
        <w:ind w:firstLineChars="200" w:firstLine="472"/>
        <w:rPr>
          <w:rFonts w:ascii="楷体" w:eastAsia="楷体" w:hAnsi="楷体" w:cs="楷体"/>
          <w:sz w:val="24"/>
          <w:szCs w:val="24"/>
        </w:rPr>
      </w:pPr>
      <w:r>
        <w:rPr>
          <w:rFonts w:ascii="楷体" w:eastAsia="楷体" w:hAnsi="楷体" w:cs="楷体" w:hint="eastAsia"/>
          <w:sz w:val="24"/>
          <w:szCs w:val="24"/>
        </w:rPr>
        <w:t>以通用电气班的联合培养创新模式为契机，深化产教融合。继续探索深化通用电气班的教学及管理模式。积极寻求与其他类似的大型企业建立校企共建合作关系。对接企业需求与学生职业发展需要，探索安排学生在企业进行为期一年的实习实践管理机制。组建由校内导师与企业导师构成的双导师制，结合会计、金融专业特色以及企业需求，为学生量身定制专业实习计划，同时实施多元的考评体系，科学评价学生的实践实习质量。</w:t>
      </w:r>
    </w:p>
    <w:p w:rsidR="00A910F8" w:rsidRDefault="00E07596" w:rsidP="00D02887">
      <w:pPr>
        <w:spacing w:line="500" w:lineRule="exact"/>
        <w:ind w:firstLineChars="220" w:firstLine="521"/>
        <w:rPr>
          <w:rFonts w:ascii="楷体" w:eastAsia="楷体" w:hAnsi="楷体" w:cs="楷体"/>
          <w:b/>
          <w:sz w:val="24"/>
          <w:szCs w:val="24"/>
        </w:rPr>
      </w:pPr>
      <w:bookmarkStart w:id="32" w:name="_Toc510012567"/>
      <w:r>
        <w:rPr>
          <w:rFonts w:ascii="楷体" w:eastAsia="楷体" w:hAnsi="楷体" w:cs="楷体" w:hint="eastAsia"/>
          <w:b/>
          <w:sz w:val="24"/>
          <w:szCs w:val="24"/>
        </w:rPr>
        <w:t>4.</w:t>
      </w:r>
      <w:r w:rsidR="003B4722">
        <w:rPr>
          <w:rFonts w:ascii="楷体" w:eastAsia="楷体" w:hAnsi="楷体" w:cs="楷体" w:hint="eastAsia"/>
          <w:b/>
          <w:sz w:val="24"/>
          <w:szCs w:val="24"/>
        </w:rPr>
        <w:t>深入</w:t>
      </w:r>
      <w:r>
        <w:rPr>
          <w:rFonts w:ascii="楷体" w:eastAsia="楷体" w:hAnsi="楷体" w:cs="楷体" w:hint="eastAsia"/>
          <w:b/>
          <w:sz w:val="24"/>
          <w:szCs w:val="24"/>
        </w:rPr>
        <w:t>推进教学改革，</w:t>
      </w:r>
      <w:r w:rsidR="003B4722">
        <w:rPr>
          <w:rFonts w:ascii="楷体" w:eastAsia="楷体" w:hAnsi="楷体" w:cs="楷体" w:hint="eastAsia"/>
          <w:b/>
          <w:sz w:val="24"/>
          <w:szCs w:val="24"/>
        </w:rPr>
        <w:t>不断</w:t>
      </w:r>
      <w:r>
        <w:rPr>
          <w:rFonts w:ascii="楷体" w:eastAsia="楷体" w:hAnsi="楷体" w:cs="楷体" w:hint="eastAsia"/>
          <w:b/>
          <w:sz w:val="24"/>
          <w:szCs w:val="24"/>
        </w:rPr>
        <w:t>提升教学质量</w:t>
      </w:r>
      <w:bookmarkEnd w:id="32"/>
    </w:p>
    <w:p w:rsidR="00A910F8" w:rsidRPr="00B65659" w:rsidRDefault="00E07596" w:rsidP="00B65659">
      <w:pPr>
        <w:spacing w:line="500" w:lineRule="exact"/>
        <w:ind w:firstLineChars="200" w:firstLine="472"/>
        <w:rPr>
          <w:rFonts w:ascii="楷体" w:eastAsia="楷体" w:hAnsi="楷体" w:cs="楷体"/>
          <w:sz w:val="24"/>
          <w:szCs w:val="24"/>
        </w:rPr>
      </w:pPr>
      <w:r>
        <w:rPr>
          <w:rFonts w:ascii="楷体" w:eastAsia="楷体" w:hAnsi="楷体" w:cs="楷体" w:hint="eastAsia"/>
          <w:sz w:val="24"/>
          <w:szCs w:val="24"/>
        </w:rPr>
        <w:t>以教研课题申报为抓手，更新教学内容，改革教学方法。通过集体研讨、团队讨论、共同申报教研课题等方式，鼓励系部教师积极申报各类教研方面的课题，加强教</w:t>
      </w:r>
      <w:r>
        <w:rPr>
          <w:rFonts w:ascii="楷体" w:eastAsia="楷体" w:hAnsi="楷体" w:cs="楷体" w:hint="eastAsia"/>
          <w:sz w:val="24"/>
          <w:szCs w:val="24"/>
        </w:rPr>
        <w:lastRenderedPageBreak/>
        <w:t>学研究，不断提高教学质量。以课程建设为依托，提升教学效果。以核心课程为龙头，以各类课程建设项目为平台，构建网络课程群资源，发挥在线课程的作用，加强慕课、微课、混合式课程建设，增强学生运用网络资源学习的能力。进一步梳理实践教学体系，整合实践教学内容，完善覆盖四个学年连续的、完整的实践教学体系，同时拓展实践教学空间，将传统的实践教学从教室内延伸到教室外，继续加大校外实践基地的建设，全方位地培养学生的综合实训技能。为了凸显本专业的应用性特点，本专业将在现有的课程体系上进行探索尝试，将创新创业教育对接专业教育，实现两者的融合。创新创业课程体系分为理论和实践课，理论课包括创业意识类和创业能力素质类等课程；实践课将模拟创业活动，让学生参与创业实践活动，比如校内外的各种创新创业大赛。通过理论和实践的有机结合，实现创新创业教育与专业教育的融合。</w:t>
      </w:r>
    </w:p>
    <w:sectPr w:rsidR="00A910F8" w:rsidRPr="00B65659">
      <w:footerReference w:type="default" r:id="rId19"/>
      <w:pgSz w:w="11907" w:h="16840"/>
      <w:pgMar w:top="1560" w:right="1531" w:bottom="2041" w:left="1531" w:header="851" w:footer="1588" w:gutter="0"/>
      <w:pgNumType w:fmt="numberInDash" w:start="1"/>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399" w:rsidRDefault="00014399">
      <w:r>
        <w:separator/>
      </w:r>
    </w:p>
  </w:endnote>
  <w:endnote w:type="continuationSeparator" w:id="0">
    <w:p w:rsidR="00014399" w:rsidRDefault="0001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F8" w:rsidRDefault="00A910F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F8" w:rsidRDefault="00E07596">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4194566"/>
                          </w:sdtPr>
                          <w:sdtEndPr/>
                          <w:sdtContent>
                            <w:p w:rsidR="00A910F8" w:rsidRDefault="00E07596">
                              <w:pPr>
                                <w:pStyle w:val="a4"/>
                                <w:jc w:val="center"/>
                              </w:pPr>
                              <w:r>
                                <w:fldChar w:fldCharType="begin"/>
                              </w:r>
                              <w:r>
                                <w:instrText>PAGE   \* MERGEFORMAT</w:instrText>
                              </w:r>
                              <w:r>
                                <w:fldChar w:fldCharType="separate"/>
                              </w:r>
                              <w:r w:rsidR="00087601" w:rsidRPr="00087601">
                                <w:rPr>
                                  <w:noProof/>
                                  <w:lang w:val="zh-CN"/>
                                </w:rPr>
                                <w:t>-</w:t>
                              </w:r>
                              <w:r w:rsidR="00087601">
                                <w:rPr>
                                  <w:noProof/>
                                </w:rPr>
                                <w:t xml:space="preserve"> 37 -</w:t>
                              </w:r>
                              <w:r>
                                <w:fldChar w:fldCharType="end"/>
                              </w:r>
                            </w:p>
                          </w:sdtContent>
                        </w:sdt>
                        <w:p w:rsidR="00A910F8" w:rsidRDefault="00A910F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944194566"/>
                    </w:sdtPr>
                    <w:sdtEndPr/>
                    <w:sdtContent>
                      <w:p w:rsidR="00A910F8" w:rsidRDefault="00E07596">
                        <w:pPr>
                          <w:pStyle w:val="a4"/>
                          <w:jc w:val="center"/>
                        </w:pPr>
                        <w:r>
                          <w:fldChar w:fldCharType="begin"/>
                        </w:r>
                        <w:r>
                          <w:instrText>PAGE   \* MERGEFORMAT</w:instrText>
                        </w:r>
                        <w:r>
                          <w:fldChar w:fldCharType="separate"/>
                        </w:r>
                        <w:r w:rsidR="00087601" w:rsidRPr="00087601">
                          <w:rPr>
                            <w:noProof/>
                            <w:lang w:val="zh-CN"/>
                          </w:rPr>
                          <w:t>-</w:t>
                        </w:r>
                        <w:r w:rsidR="00087601">
                          <w:rPr>
                            <w:noProof/>
                          </w:rPr>
                          <w:t xml:space="preserve"> 37 -</w:t>
                        </w:r>
                        <w:r>
                          <w:fldChar w:fldCharType="end"/>
                        </w:r>
                      </w:p>
                    </w:sdtContent>
                  </w:sdt>
                  <w:p w:rsidR="00A910F8" w:rsidRDefault="00A910F8"/>
                </w:txbxContent>
              </v:textbox>
              <w10:wrap anchorx="margin"/>
            </v:shape>
          </w:pict>
        </mc:Fallback>
      </mc:AlternateContent>
    </w:r>
  </w:p>
  <w:p w:rsidR="00A910F8" w:rsidRDefault="00A910F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399" w:rsidRDefault="00014399">
      <w:r>
        <w:separator/>
      </w:r>
    </w:p>
  </w:footnote>
  <w:footnote w:type="continuationSeparator" w:id="0">
    <w:p w:rsidR="00014399" w:rsidRDefault="00014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B2"/>
    <w:rsid w:val="00000F4A"/>
    <w:rsid w:val="00004294"/>
    <w:rsid w:val="00004BD2"/>
    <w:rsid w:val="000135B6"/>
    <w:rsid w:val="00014399"/>
    <w:rsid w:val="000345A0"/>
    <w:rsid w:val="00050D6A"/>
    <w:rsid w:val="00072EAD"/>
    <w:rsid w:val="000809BE"/>
    <w:rsid w:val="00087601"/>
    <w:rsid w:val="00091D93"/>
    <w:rsid w:val="00094451"/>
    <w:rsid w:val="000A602C"/>
    <w:rsid w:val="000C228E"/>
    <w:rsid w:val="000C7BBE"/>
    <w:rsid w:val="000D2388"/>
    <w:rsid w:val="000D4347"/>
    <w:rsid w:val="000E5825"/>
    <w:rsid w:val="000F08FD"/>
    <w:rsid w:val="000F3A5B"/>
    <w:rsid w:val="000F4CCB"/>
    <w:rsid w:val="00100E12"/>
    <w:rsid w:val="00101779"/>
    <w:rsid w:val="00103D21"/>
    <w:rsid w:val="001040AC"/>
    <w:rsid w:val="001044D1"/>
    <w:rsid w:val="00111D95"/>
    <w:rsid w:val="0011379B"/>
    <w:rsid w:val="0011781C"/>
    <w:rsid w:val="001232A0"/>
    <w:rsid w:val="00124A82"/>
    <w:rsid w:val="00132D0D"/>
    <w:rsid w:val="00143E56"/>
    <w:rsid w:val="00184985"/>
    <w:rsid w:val="001D3AD1"/>
    <w:rsid w:val="00202FB9"/>
    <w:rsid w:val="00204278"/>
    <w:rsid w:val="00211BA9"/>
    <w:rsid w:val="00226F67"/>
    <w:rsid w:val="00244684"/>
    <w:rsid w:val="002520F9"/>
    <w:rsid w:val="002556FA"/>
    <w:rsid w:val="00263210"/>
    <w:rsid w:val="002634DD"/>
    <w:rsid w:val="00267ADB"/>
    <w:rsid w:val="00273EA2"/>
    <w:rsid w:val="0027485B"/>
    <w:rsid w:val="002876CC"/>
    <w:rsid w:val="002A2540"/>
    <w:rsid w:val="002A5A26"/>
    <w:rsid w:val="002A5D11"/>
    <w:rsid w:val="002A6B7D"/>
    <w:rsid w:val="002C1D37"/>
    <w:rsid w:val="002D603D"/>
    <w:rsid w:val="002E3440"/>
    <w:rsid w:val="002E3E4B"/>
    <w:rsid w:val="002F7D4F"/>
    <w:rsid w:val="00303133"/>
    <w:rsid w:val="003131D7"/>
    <w:rsid w:val="00324AAD"/>
    <w:rsid w:val="0033423C"/>
    <w:rsid w:val="0037251C"/>
    <w:rsid w:val="0037730C"/>
    <w:rsid w:val="003778A5"/>
    <w:rsid w:val="00391934"/>
    <w:rsid w:val="00394AEE"/>
    <w:rsid w:val="003A6BE6"/>
    <w:rsid w:val="003B33E7"/>
    <w:rsid w:val="003B4722"/>
    <w:rsid w:val="003D0A28"/>
    <w:rsid w:val="004469ED"/>
    <w:rsid w:val="00457D46"/>
    <w:rsid w:val="00477715"/>
    <w:rsid w:val="00482B66"/>
    <w:rsid w:val="00490C7D"/>
    <w:rsid w:val="00496626"/>
    <w:rsid w:val="004A588B"/>
    <w:rsid w:val="004A7AE2"/>
    <w:rsid w:val="004B1D85"/>
    <w:rsid w:val="004C4AFD"/>
    <w:rsid w:val="004D12EC"/>
    <w:rsid w:val="004D210E"/>
    <w:rsid w:val="004D4AEC"/>
    <w:rsid w:val="004E0E50"/>
    <w:rsid w:val="00504085"/>
    <w:rsid w:val="00505F94"/>
    <w:rsid w:val="0050797C"/>
    <w:rsid w:val="005151FF"/>
    <w:rsid w:val="00550462"/>
    <w:rsid w:val="005515D1"/>
    <w:rsid w:val="005604DB"/>
    <w:rsid w:val="0056717D"/>
    <w:rsid w:val="00593B1D"/>
    <w:rsid w:val="005D25EE"/>
    <w:rsid w:val="005E67B4"/>
    <w:rsid w:val="005E729C"/>
    <w:rsid w:val="005F267C"/>
    <w:rsid w:val="006309DF"/>
    <w:rsid w:val="00634DD8"/>
    <w:rsid w:val="006559C5"/>
    <w:rsid w:val="006746AE"/>
    <w:rsid w:val="00674EA0"/>
    <w:rsid w:val="00694A69"/>
    <w:rsid w:val="00694FD0"/>
    <w:rsid w:val="006A1564"/>
    <w:rsid w:val="006A4081"/>
    <w:rsid w:val="006A77E9"/>
    <w:rsid w:val="006B29A1"/>
    <w:rsid w:val="006C09B2"/>
    <w:rsid w:val="006C7B74"/>
    <w:rsid w:val="006D3E76"/>
    <w:rsid w:val="006D641D"/>
    <w:rsid w:val="006F7A10"/>
    <w:rsid w:val="00705E28"/>
    <w:rsid w:val="00722646"/>
    <w:rsid w:val="0072296E"/>
    <w:rsid w:val="007445F4"/>
    <w:rsid w:val="00750416"/>
    <w:rsid w:val="0075303B"/>
    <w:rsid w:val="00764852"/>
    <w:rsid w:val="00765A7C"/>
    <w:rsid w:val="007721C6"/>
    <w:rsid w:val="00773278"/>
    <w:rsid w:val="00774C5C"/>
    <w:rsid w:val="00776897"/>
    <w:rsid w:val="00787D81"/>
    <w:rsid w:val="0079340F"/>
    <w:rsid w:val="007A1EF4"/>
    <w:rsid w:val="007A4644"/>
    <w:rsid w:val="007D0100"/>
    <w:rsid w:val="007E331C"/>
    <w:rsid w:val="007E5076"/>
    <w:rsid w:val="007E7F53"/>
    <w:rsid w:val="007F5258"/>
    <w:rsid w:val="007F64BA"/>
    <w:rsid w:val="0081544B"/>
    <w:rsid w:val="00833285"/>
    <w:rsid w:val="00836F19"/>
    <w:rsid w:val="008475D9"/>
    <w:rsid w:val="008504D2"/>
    <w:rsid w:val="00863AD7"/>
    <w:rsid w:val="008641B2"/>
    <w:rsid w:val="008658C6"/>
    <w:rsid w:val="00865A9A"/>
    <w:rsid w:val="00867654"/>
    <w:rsid w:val="008727AB"/>
    <w:rsid w:val="008728D5"/>
    <w:rsid w:val="0087492F"/>
    <w:rsid w:val="008751FB"/>
    <w:rsid w:val="008823FB"/>
    <w:rsid w:val="00892432"/>
    <w:rsid w:val="00894D03"/>
    <w:rsid w:val="008B6B80"/>
    <w:rsid w:val="008C5D03"/>
    <w:rsid w:val="008F0213"/>
    <w:rsid w:val="00906C05"/>
    <w:rsid w:val="00923327"/>
    <w:rsid w:val="009504AA"/>
    <w:rsid w:val="009570CD"/>
    <w:rsid w:val="0096177A"/>
    <w:rsid w:val="009633B7"/>
    <w:rsid w:val="00990319"/>
    <w:rsid w:val="009976A0"/>
    <w:rsid w:val="009B4BAE"/>
    <w:rsid w:val="009C7DA3"/>
    <w:rsid w:val="009D53B4"/>
    <w:rsid w:val="009D79EA"/>
    <w:rsid w:val="009E2A71"/>
    <w:rsid w:val="009F6C19"/>
    <w:rsid w:val="00A114EB"/>
    <w:rsid w:val="00A124B6"/>
    <w:rsid w:val="00A16C58"/>
    <w:rsid w:val="00A2038D"/>
    <w:rsid w:val="00A25D82"/>
    <w:rsid w:val="00A4689A"/>
    <w:rsid w:val="00A74437"/>
    <w:rsid w:val="00A910F8"/>
    <w:rsid w:val="00A93526"/>
    <w:rsid w:val="00AA44AB"/>
    <w:rsid w:val="00AB09B5"/>
    <w:rsid w:val="00AD31AD"/>
    <w:rsid w:val="00AD4BBB"/>
    <w:rsid w:val="00AE22EB"/>
    <w:rsid w:val="00B070B4"/>
    <w:rsid w:val="00B07C95"/>
    <w:rsid w:val="00B1593B"/>
    <w:rsid w:val="00B225E9"/>
    <w:rsid w:val="00B234EA"/>
    <w:rsid w:val="00B2429E"/>
    <w:rsid w:val="00B35B0A"/>
    <w:rsid w:val="00B36D63"/>
    <w:rsid w:val="00B41CF6"/>
    <w:rsid w:val="00B42246"/>
    <w:rsid w:val="00B432B4"/>
    <w:rsid w:val="00B45AE3"/>
    <w:rsid w:val="00B506CF"/>
    <w:rsid w:val="00B57542"/>
    <w:rsid w:val="00B578FE"/>
    <w:rsid w:val="00B60950"/>
    <w:rsid w:val="00B65659"/>
    <w:rsid w:val="00B77B16"/>
    <w:rsid w:val="00B83195"/>
    <w:rsid w:val="00B85134"/>
    <w:rsid w:val="00B915B8"/>
    <w:rsid w:val="00B96AD0"/>
    <w:rsid w:val="00BB06E8"/>
    <w:rsid w:val="00BD0BE4"/>
    <w:rsid w:val="00C0574F"/>
    <w:rsid w:val="00C142F3"/>
    <w:rsid w:val="00C16EB9"/>
    <w:rsid w:val="00C17257"/>
    <w:rsid w:val="00C474DB"/>
    <w:rsid w:val="00C5776A"/>
    <w:rsid w:val="00C6005A"/>
    <w:rsid w:val="00C67BAE"/>
    <w:rsid w:val="00C81AA9"/>
    <w:rsid w:val="00CA2CAE"/>
    <w:rsid w:val="00CB4239"/>
    <w:rsid w:val="00CC08A3"/>
    <w:rsid w:val="00CC7D0B"/>
    <w:rsid w:val="00D02887"/>
    <w:rsid w:val="00D055E5"/>
    <w:rsid w:val="00D057E0"/>
    <w:rsid w:val="00D06698"/>
    <w:rsid w:val="00D10BA6"/>
    <w:rsid w:val="00D36B43"/>
    <w:rsid w:val="00D67991"/>
    <w:rsid w:val="00D756C1"/>
    <w:rsid w:val="00D83854"/>
    <w:rsid w:val="00D86739"/>
    <w:rsid w:val="00DB291E"/>
    <w:rsid w:val="00DE59A1"/>
    <w:rsid w:val="00DF67EC"/>
    <w:rsid w:val="00E021D2"/>
    <w:rsid w:val="00E07596"/>
    <w:rsid w:val="00E22785"/>
    <w:rsid w:val="00E26083"/>
    <w:rsid w:val="00E27A0F"/>
    <w:rsid w:val="00E34BF9"/>
    <w:rsid w:val="00E5460F"/>
    <w:rsid w:val="00E571B0"/>
    <w:rsid w:val="00E57917"/>
    <w:rsid w:val="00E81CE6"/>
    <w:rsid w:val="00EB66FA"/>
    <w:rsid w:val="00EC0282"/>
    <w:rsid w:val="00EC54B3"/>
    <w:rsid w:val="00F1134C"/>
    <w:rsid w:val="00F30352"/>
    <w:rsid w:val="00F34B2E"/>
    <w:rsid w:val="00F36A53"/>
    <w:rsid w:val="00F378D8"/>
    <w:rsid w:val="00F7356A"/>
    <w:rsid w:val="00F73CA2"/>
    <w:rsid w:val="00F86A9D"/>
    <w:rsid w:val="00F925AE"/>
    <w:rsid w:val="00F97477"/>
    <w:rsid w:val="00FA2253"/>
    <w:rsid w:val="00FA2A95"/>
    <w:rsid w:val="00FA670B"/>
    <w:rsid w:val="00FC17A2"/>
    <w:rsid w:val="00FC4D73"/>
    <w:rsid w:val="00FD7A95"/>
    <w:rsid w:val="00FE4885"/>
    <w:rsid w:val="00FF0CEA"/>
    <w:rsid w:val="00FF433A"/>
    <w:rsid w:val="00FF677E"/>
    <w:rsid w:val="023A4C78"/>
    <w:rsid w:val="028C1964"/>
    <w:rsid w:val="04D734CC"/>
    <w:rsid w:val="04F437AB"/>
    <w:rsid w:val="06A4728F"/>
    <w:rsid w:val="09426F1A"/>
    <w:rsid w:val="0C8C5CE8"/>
    <w:rsid w:val="0E554B59"/>
    <w:rsid w:val="10BE79C0"/>
    <w:rsid w:val="11DB28F6"/>
    <w:rsid w:val="1CF3054B"/>
    <w:rsid w:val="24566217"/>
    <w:rsid w:val="2ABB200C"/>
    <w:rsid w:val="32C03D49"/>
    <w:rsid w:val="333F3902"/>
    <w:rsid w:val="38063C55"/>
    <w:rsid w:val="384D5E66"/>
    <w:rsid w:val="3A0E2CD3"/>
    <w:rsid w:val="40DC76E9"/>
    <w:rsid w:val="433B3CC9"/>
    <w:rsid w:val="45FA78F5"/>
    <w:rsid w:val="48083347"/>
    <w:rsid w:val="4A3F7D57"/>
    <w:rsid w:val="4AA61BD6"/>
    <w:rsid w:val="4BAB19E0"/>
    <w:rsid w:val="4C776F49"/>
    <w:rsid w:val="53B920FF"/>
    <w:rsid w:val="5A2D2985"/>
    <w:rsid w:val="5A4B142F"/>
    <w:rsid w:val="5B462B7B"/>
    <w:rsid w:val="5BD1630F"/>
    <w:rsid w:val="5C827FD6"/>
    <w:rsid w:val="699E7D1A"/>
    <w:rsid w:val="6DC95364"/>
    <w:rsid w:val="6E1B067F"/>
    <w:rsid w:val="6EE20E54"/>
    <w:rsid w:val="7140499D"/>
    <w:rsid w:val="75F308C0"/>
    <w:rsid w:val="773B76B6"/>
    <w:rsid w:val="7753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kern w:val="2"/>
      <w:sz w:val="3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4">
    <w:name w:val="heading 4"/>
    <w:basedOn w:val="a"/>
    <w:next w:val="a"/>
    <w:link w:val="4Char"/>
    <w:unhideWhenUsed/>
    <w:qFormat/>
    <w:pPr>
      <w:keepNext/>
      <w:keepLines/>
      <w:autoSpaceDE w:val="0"/>
      <w:autoSpaceDN w:val="0"/>
      <w:spacing w:line="360" w:lineRule="auto"/>
      <w:jc w:val="center"/>
      <w:outlineLvl w:val="3"/>
    </w:pPr>
    <w:rPr>
      <w:rFonts w:ascii="Times New Roman" w:eastAsia="宋体" w:hAnsi="Times New Roman" w:cs="仿宋"/>
      <w:kern w:val="0"/>
      <w:sz w:val="24"/>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20">
    <w:name w:val="toc 2"/>
    <w:basedOn w:val="a"/>
    <w:next w:val="a"/>
    <w:uiPriority w:val="39"/>
    <w:semiHidden/>
    <w:unhideWhenUsed/>
    <w:qFormat/>
    <w:pPr>
      <w:ind w:leftChars="200" w:left="42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rPr>
  </w:style>
  <w:style w:type="character" w:styleId="a8">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9">
    <w:name w:val="表格文本"/>
    <w:basedOn w:val="a"/>
    <w:link w:val="Char2"/>
    <w:qFormat/>
    <w:pPr>
      <w:snapToGrid w:val="0"/>
    </w:pPr>
    <w:rPr>
      <w:rFonts w:ascii="Times New Roman" w:eastAsia="宋体" w:hAnsi="Times New Roman"/>
      <w:sz w:val="21"/>
      <w:szCs w:val="24"/>
    </w:rPr>
  </w:style>
  <w:style w:type="paragraph" w:customStyle="1" w:styleId="aa">
    <w:name w:val="论文正文"/>
    <w:basedOn w:val="a"/>
    <w:qFormat/>
    <w:pPr>
      <w:autoSpaceDE w:val="0"/>
      <w:autoSpaceDN w:val="0"/>
      <w:spacing w:line="360" w:lineRule="auto"/>
      <w:ind w:firstLineChars="200" w:firstLine="420"/>
    </w:pPr>
    <w:rPr>
      <w:rFonts w:ascii="Times New Roman" w:eastAsia="宋体" w:hAnsi="Times New Roman" w:cs="仿宋"/>
      <w:kern w:val="0"/>
      <w:sz w:val="24"/>
      <w:szCs w:val="22"/>
      <w:lang w:eastAsia="en-US" w:bidi="en-US"/>
    </w:rPr>
  </w:style>
  <w:style w:type="character" w:customStyle="1" w:styleId="40">
    <w:name w:val="标题 4 字符"/>
    <w:basedOn w:val="a0"/>
    <w:uiPriority w:val="9"/>
    <w:semiHidden/>
    <w:qFormat/>
    <w:rPr>
      <w:rFonts w:asciiTheme="majorHAnsi" w:eastAsiaTheme="majorEastAsia" w:hAnsiTheme="majorHAnsi" w:cstheme="majorBidi"/>
      <w:b/>
      <w:bCs/>
      <w:sz w:val="28"/>
      <w:szCs w:val="28"/>
    </w:rPr>
  </w:style>
  <w:style w:type="character" w:customStyle="1" w:styleId="4Char">
    <w:name w:val="标题 4 Char"/>
    <w:link w:val="4"/>
    <w:qFormat/>
    <w:rPr>
      <w:rFonts w:ascii="Times New Roman" w:eastAsia="宋体" w:hAnsi="Times New Roman" w:cs="仿宋"/>
      <w:kern w:val="0"/>
      <w:sz w:val="24"/>
      <w:lang w:eastAsia="en-US" w:bidi="en-US"/>
    </w:rPr>
  </w:style>
  <w:style w:type="character" w:customStyle="1" w:styleId="Char2">
    <w:name w:val="表格文本 Char"/>
    <w:link w:val="a9"/>
    <w:qFormat/>
    <w:rPr>
      <w:rFonts w:ascii="Times New Roman" w:eastAsia="宋体" w:hAnsi="Times New Roman" w:cs="Times New Roman"/>
      <w:szCs w:val="24"/>
    </w:rPr>
  </w:style>
  <w:style w:type="character" w:customStyle="1" w:styleId="Char">
    <w:name w:val="批注框文本 Char"/>
    <w:basedOn w:val="a0"/>
    <w:link w:val="a3"/>
    <w:uiPriority w:val="99"/>
    <w:semiHidden/>
    <w:qFormat/>
    <w:rPr>
      <w:rFonts w:ascii="Calibri" w:eastAsia="仿宋_GB2312" w:hAnsi="Calibri" w:cs="Times New Roman"/>
      <w:sz w:val="18"/>
      <w:szCs w:val="18"/>
    </w:rPr>
  </w:style>
  <w:style w:type="table" w:customStyle="1" w:styleId="11">
    <w:name w:val="网格型浅色1"/>
    <w:basedOn w:val="a1"/>
    <w:uiPriority w:val="40"/>
    <w:qFormat/>
    <w:rPr>
      <w:rFonts w:eastAsia="微软雅黑"/>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b">
    <w:name w:val="List Paragraph"/>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4"/>
      <w:szCs w:val="24"/>
      <w:u w:val="none"/>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kern w:val="2"/>
      <w:sz w:val="3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4">
    <w:name w:val="heading 4"/>
    <w:basedOn w:val="a"/>
    <w:next w:val="a"/>
    <w:link w:val="4Char"/>
    <w:unhideWhenUsed/>
    <w:qFormat/>
    <w:pPr>
      <w:keepNext/>
      <w:keepLines/>
      <w:autoSpaceDE w:val="0"/>
      <w:autoSpaceDN w:val="0"/>
      <w:spacing w:line="360" w:lineRule="auto"/>
      <w:jc w:val="center"/>
      <w:outlineLvl w:val="3"/>
    </w:pPr>
    <w:rPr>
      <w:rFonts w:ascii="Times New Roman" w:eastAsia="宋体" w:hAnsi="Times New Roman" w:cs="仿宋"/>
      <w:kern w:val="0"/>
      <w:sz w:val="24"/>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20">
    <w:name w:val="toc 2"/>
    <w:basedOn w:val="a"/>
    <w:next w:val="a"/>
    <w:uiPriority w:val="39"/>
    <w:semiHidden/>
    <w:unhideWhenUsed/>
    <w:qFormat/>
    <w:pPr>
      <w:ind w:leftChars="200" w:left="42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rPr>
  </w:style>
  <w:style w:type="character" w:styleId="a8">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9">
    <w:name w:val="表格文本"/>
    <w:basedOn w:val="a"/>
    <w:link w:val="Char2"/>
    <w:qFormat/>
    <w:pPr>
      <w:snapToGrid w:val="0"/>
    </w:pPr>
    <w:rPr>
      <w:rFonts w:ascii="Times New Roman" w:eastAsia="宋体" w:hAnsi="Times New Roman"/>
      <w:sz w:val="21"/>
      <w:szCs w:val="24"/>
    </w:rPr>
  </w:style>
  <w:style w:type="paragraph" w:customStyle="1" w:styleId="aa">
    <w:name w:val="论文正文"/>
    <w:basedOn w:val="a"/>
    <w:qFormat/>
    <w:pPr>
      <w:autoSpaceDE w:val="0"/>
      <w:autoSpaceDN w:val="0"/>
      <w:spacing w:line="360" w:lineRule="auto"/>
      <w:ind w:firstLineChars="200" w:firstLine="420"/>
    </w:pPr>
    <w:rPr>
      <w:rFonts w:ascii="Times New Roman" w:eastAsia="宋体" w:hAnsi="Times New Roman" w:cs="仿宋"/>
      <w:kern w:val="0"/>
      <w:sz w:val="24"/>
      <w:szCs w:val="22"/>
      <w:lang w:eastAsia="en-US" w:bidi="en-US"/>
    </w:rPr>
  </w:style>
  <w:style w:type="character" w:customStyle="1" w:styleId="40">
    <w:name w:val="标题 4 字符"/>
    <w:basedOn w:val="a0"/>
    <w:uiPriority w:val="9"/>
    <w:semiHidden/>
    <w:qFormat/>
    <w:rPr>
      <w:rFonts w:asciiTheme="majorHAnsi" w:eastAsiaTheme="majorEastAsia" w:hAnsiTheme="majorHAnsi" w:cstheme="majorBidi"/>
      <w:b/>
      <w:bCs/>
      <w:sz w:val="28"/>
      <w:szCs w:val="28"/>
    </w:rPr>
  </w:style>
  <w:style w:type="character" w:customStyle="1" w:styleId="4Char">
    <w:name w:val="标题 4 Char"/>
    <w:link w:val="4"/>
    <w:qFormat/>
    <w:rPr>
      <w:rFonts w:ascii="Times New Roman" w:eastAsia="宋体" w:hAnsi="Times New Roman" w:cs="仿宋"/>
      <w:kern w:val="0"/>
      <w:sz w:val="24"/>
      <w:lang w:eastAsia="en-US" w:bidi="en-US"/>
    </w:rPr>
  </w:style>
  <w:style w:type="character" w:customStyle="1" w:styleId="Char2">
    <w:name w:val="表格文本 Char"/>
    <w:link w:val="a9"/>
    <w:qFormat/>
    <w:rPr>
      <w:rFonts w:ascii="Times New Roman" w:eastAsia="宋体" w:hAnsi="Times New Roman" w:cs="Times New Roman"/>
      <w:szCs w:val="24"/>
    </w:rPr>
  </w:style>
  <w:style w:type="character" w:customStyle="1" w:styleId="Char">
    <w:name w:val="批注框文本 Char"/>
    <w:basedOn w:val="a0"/>
    <w:link w:val="a3"/>
    <w:uiPriority w:val="99"/>
    <w:semiHidden/>
    <w:qFormat/>
    <w:rPr>
      <w:rFonts w:ascii="Calibri" w:eastAsia="仿宋_GB2312" w:hAnsi="Calibri" w:cs="Times New Roman"/>
      <w:sz w:val="18"/>
      <w:szCs w:val="18"/>
    </w:rPr>
  </w:style>
  <w:style w:type="table" w:customStyle="1" w:styleId="11">
    <w:name w:val="网格型浅色1"/>
    <w:basedOn w:val="a1"/>
    <w:uiPriority w:val="40"/>
    <w:qFormat/>
    <w:rPr>
      <w:rFonts w:eastAsia="微软雅黑"/>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b">
    <w:name w:val="List Paragraph"/>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4"/>
      <w:szCs w:val="24"/>
      <w:u w:val="none"/>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xjw.lixin.edu.cn/edu/lesson/admin/teachTaskSearch!info.action?lesson.id=384080"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keyan.lixin.edu.cn/business/paper/paper.do?actionType=view&amp;bean.id=5e4c36877b77bb59017c25199b8602fe"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9D1C6-7710-4340-BC55-F4420295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3990</Words>
  <Characters>22749</Characters>
  <Application>Microsoft Office Word</Application>
  <DocSecurity>0</DocSecurity>
  <Lines>189</Lines>
  <Paragraphs>53</Paragraphs>
  <ScaleCrop>false</ScaleCrop>
  <Company>Microsoft</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Gaomingxia</dc:creator>
  <cp:lastModifiedBy>asd</cp:lastModifiedBy>
  <cp:revision>222</cp:revision>
  <cp:lastPrinted>2021-12-15T02:44:00Z</cp:lastPrinted>
  <dcterms:created xsi:type="dcterms:W3CDTF">2020-12-07T05:42:00Z</dcterms:created>
  <dcterms:modified xsi:type="dcterms:W3CDTF">2021-12-15T02:45:00Z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7E03DE0246504991952C54F974A4E9F3</vt:lpwstr>
  </property>
</Properties>
</file>