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2024年度全国教育科学规划专项项目申报通知</w:t>
      </w:r>
    </w:p>
    <w:p>
      <w:pPr>
        <w:adjustRightInd w:val="0"/>
        <w:snapToGrid w:val="0"/>
        <w:spacing w:line="360" w:lineRule="auto"/>
        <w:rPr>
          <w:sz w:val="24"/>
        </w:rPr>
      </w:pPr>
      <w:r>
        <w:rPr>
          <w:rFonts w:hint="eastAsia"/>
          <w:sz w:val="24"/>
        </w:rPr>
        <w:t>各二级单位（部门）：</w:t>
      </w:r>
    </w:p>
    <w:p>
      <w:pPr>
        <w:adjustRightInd w:val="0"/>
        <w:snapToGrid w:val="0"/>
        <w:spacing w:line="360" w:lineRule="auto"/>
        <w:ind w:firstLine="480" w:firstLineChars="200"/>
        <w:rPr>
          <w:sz w:val="24"/>
        </w:rPr>
      </w:pPr>
      <w:r>
        <w:rPr>
          <w:rFonts w:hint="eastAsia"/>
          <w:sz w:val="24"/>
        </w:rPr>
        <w:t>根据全国教育科学规划办公室通知，2024年度，全国教育科学规划新增“高校毕业生就业研究专项”（以下简称就业研究专项）和“教育考试研究专项”（以下简称考试研究专项）。现将有关事项通知如下：</w:t>
      </w:r>
    </w:p>
    <w:p>
      <w:pPr>
        <w:adjustRightInd w:val="0"/>
        <w:snapToGrid w:val="0"/>
        <w:spacing w:line="360" w:lineRule="auto"/>
        <w:ind w:firstLine="482" w:firstLineChars="200"/>
        <w:rPr>
          <w:b/>
          <w:bCs/>
          <w:sz w:val="24"/>
        </w:rPr>
      </w:pPr>
      <w:r>
        <w:rPr>
          <w:rFonts w:hint="eastAsia"/>
          <w:b/>
          <w:bCs/>
          <w:sz w:val="24"/>
        </w:rPr>
        <w:t>一、专项类别</w:t>
      </w:r>
    </w:p>
    <w:p>
      <w:pPr>
        <w:adjustRightInd w:val="0"/>
        <w:snapToGrid w:val="0"/>
        <w:spacing w:line="360" w:lineRule="auto"/>
        <w:ind w:firstLine="480" w:firstLineChars="200"/>
        <w:rPr>
          <w:sz w:val="24"/>
        </w:rPr>
      </w:pPr>
      <w:r>
        <w:rPr>
          <w:rFonts w:hint="eastAsia"/>
          <w:sz w:val="24"/>
        </w:rPr>
        <w:t>就业研究专项立足高等教育人才培养与经济社会发展需求供需适配，重点资助高校毕业生就业领域的重要理论和现实问题研究，为构建高质量就业指导体系和服务高校毕业生更充分更高质量就业提供决策支撑。</w:t>
      </w:r>
    </w:p>
    <w:p>
      <w:pPr>
        <w:adjustRightInd w:val="0"/>
        <w:snapToGrid w:val="0"/>
        <w:spacing w:line="360" w:lineRule="auto"/>
        <w:ind w:firstLine="480" w:firstLineChars="200"/>
        <w:rPr>
          <w:sz w:val="24"/>
        </w:rPr>
      </w:pPr>
      <w:r>
        <w:rPr>
          <w:rFonts w:hint="eastAsia"/>
          <w:sz w:val="24"/>
        </w:rPr>
        <w:t>考试研究专项面向教育强国建设需求和教育考试高质量发展需要，重点资助教育考试领域关系教育发展全局的重要理论和现实问题研究，为构建高质量教育考试评价体系和服务教育考试改革发展提供决策支撑。</w:t>
      </w:r>
    </w:p>
    <w:p>
      <w:pPr>
        <w:adjustRightInd w:val="0"/>
        <w:snapToGrid w:val="0"/>
        <w:spacing w:line="360" w:lineRule="auto"/>
        <w:ind w:firstLine="482" w:firstLineChars="200"/>
        <w:rPr>
          <w:b/>
          <w:bCs/>
          <w:sz w:val="24"/>
        </w:rPr>
      </w:pPr>
      <w:r>
        <w:rPr>
          <w:rFonts w:hint="eastAsia"/>
          <w:b/>
          <w:bCs/>
          <w:sz w:val="24"/>
        </w:rPr>
        <w:t>二、选题指南</w:t>
      </w:r>
    </w:p>
    <w:p>
      <w:pPr>
        <w:adjustRightInd w:val="0"/>
        <w:snapToGrid w:val="0"/>
        <w:spacing w:line="360" w:lineRule="auto"/>
        <w:ind w:firstLine="480" w:firstLineChars="200"/>
        <w:rPr>
          <w:sz w:val="24"/>
        </w:rPr>
      </w:pPr>
      <w:r>
        <w:rPr>
          <w:rFonts w:hint="eastAsia"/>
          <w:sz w:val="24"/>
        </w:rPr>
        <w:t>申报高校毕业生就业研究专项，可以从指南中选题，如确有需要，可对选题进行适当微调，但不得大幅压缩或改变研究内容；也可以自拟选题，但必须与专项研究领域密切相关。项目名称表述要科学严谨、简明规范，避免引起歧义或争议。自拟选题与按项目指南申报的选题在评审程序、评审标准、立项指标、资助强度等方面同等对待。</w:t>
      </w:r>
    </w:p>
    <w:p>
      <w:pPr>
        <w:adjustRightInd w:val="0"/>
        <w:snapToGrid w:val="0"/>
        <w:spacing w:line="360" w:lineRule="auto"/>
        <w:ind w:firstLine="480" w:firstLineChars="200"/>
        <w:rPr>
          <w:sz w:val="24"/>
        </w:rPr>
      </w:pPr>
      <w:r>
        <w:rPr>
          <w:rFonts w:hint="eastAsia"/>
          <w:sz w:val="24"/>
        </w:rPr>
        <w:t>申报教育考试研究专项，须从指南中选题，重点项目的相应条目有括号标注，自拟选题不予受理。</w:t>
      </w:r>
    </w:p>
    <w:p>
      <w:pPr>
        <w:adjustRightInd w:val="0"/>
        <w:snapToGrid w:val="0"/>
        <w:spacing w:line="360" w:lineRule="auto"/>
        <w:ind w:firstLine="480" w:firstLineChars="200"/>
        <w:rPr>
          <w:sz w:val="24"/>
        </w:rPr>
      </w:pPr>
      <w:r>
        <w:rPr>
          <w:rFonts w:hint="eastAsia"/>
          <w:sz w:val="24"/>
        </w:rPr>
        <w:t>专项每个选题原则上只确立1个立项项目。</w:t>
      </w:r>
    </w:p>
    <w:p>
      <w:pPr>
        <w:adjustRightInd w:val="0"/>
        <w:snapToGrid w:val="0"/>
        <w:spacing w:line="360" w:lineRule="auto"/>
        <w:ind w:firstLine="482" w:firstLineChars="200"/>
        <w:rPr>
          <w:b/>
          <w:bCs/>
          <w:sz w:val="24"/>
        </w:rPr>
      </w:pPr>
      <w:r>
        <w:rPr>
          <w:rFonts w:hint="eastAsia"/>
          <w:b/>
          <w:bCs/>
          <w:sz w:val="24"/>
        </w:rPr>
        <w:t>三、资助额度</w:t>
      </w:r>
    </w:p>
    <w:p>
      <w:pPr>
        <w:adjustRightInd w:val="0"/>
        <w:snapToGrid w:val="0"/>
        <w:spacing w:line="360" w:lineRule="auto"/>
        <w:ind w:firstLine="480" w:firstLineChars="200"/>
        <w:rPr>
          <w:sz w:val="24"/>
        </w:rPr>
      </w:pPr>
      <w:r>
        <w:rPr>
          <w:rFonts w:hint="eastAsia"/>
          <w:sz w:val="24"/>
        </w:rPr>
        <w:t>就业研究专项教育部重点项目每项资助10万元，教育部青年每项资助5万元。</w:t>
      </w:r>
    </w:p>
    <w:p>
      <w:pPr>
        <w:adjustRightInd w:val="0"/>
        <w:snapToGrid w:val="0"/>
        <w:spacing w:line="360" w:lineRule="auto"/>
        <w:ind w:firstLine="480" w:firstLineChars="200"/>
        <w:rPr>
          <w:sz w:val="24"/>
        </w:rPr>
      </w:pPr>
      <w:r>
        <w:rPr>
          <w:rFonts w:hint="eastAsia"/>
          <w:sz w:val="24"/>
        </w:rPr>
        <w:t>考试研究专项教育部重点项目每项资助35万元，一般项目每项20万元，培育项目每项资助10万元。</w:t>
      </w:r>
    </w:p>
    <w:p>
      <w:pPr>
        <w:adjustRightInd w:val="0"/>
        <w:snapToGrid w:val="0"/>
        <w:spacing w:line="360" w:lineRule="auto"/>
        <w:ind w:firstLine="482" w:firstLineChars="200"/>
        <w:rPr>
          <w:b/>
          <w:bCs/>
          <w:sz w:val="24"/>
        </w:rPr>
      </w:pPr>
      <w:r>
        <w:rPr>
          <w:rFonts w:hint="eastAsia"/>
          <w:b/>
          <w:bCs/>
          <w:sz w:val="24"/>
        </w:rPr>
        <w:t>四、申报条件</w:t>
      </w:r>
    </w:p>
    <w:p>
      <w:pPr>
        <w:adjustRightInd w:val="0"/>
        <w:snapToGrid w:val="0"/>
        <w:spacing w:line="360" w:lineRule="auto"/>
        <w:ind w:firstLine="480" w:firstLineChars="200"/>
        <w:rPr>
          <w:sz w:val="24"/>
        </w:rPr>
      </w:pPr>
      <w:r>
        <w:rPr>
          <w:rFonts w:hint="eastAsia"/>
          <w:sz w:val="24"/>
        </w:rPr>
        <w:t>1.申请人须遵守中华人民共和国宪法和法律，坚持正确的政治方向、价值取向和研究导向，遵守全国教育科学规划有关管理规定。</w:t>
      </w:r>
    </w:p>
    <w:p>
      <w:pPr>
        <w:adjustRightInd w:val="0"/>
        <w:snapToGrid w:val="0"/>
        <w:spacing w:line="360" w:lineRule="auto"/>
        <w:ind w:firstLine="480" w:firstLineChars="200"/>
        <w:rPr>
          <w:sz w:val="24"/>
        </w:rPr>
      </w:pPr>
      <w:r>
        <w:rPr>
          <w:rFonts w:hint="eastAsia"/>
          <w:sz w:val="24"/>
        </w:rPr>
        <w:t>2.就业研究专项申请教育部重点，需具有副高级以上（含）专业技术职称或者具有博士学位。申请青年项目，男性申请人年龄不超过35周岁（1989年6月20日后出生），女性申请人年龄不超过40周岁（1984年6月20日后出生）。</w:t>
      </w:r>
    </w:p>
    <w:p>
      <w:pPr>
        <w:adjustRightInd w:val="0"/>
        <w:snapToGrid w:val="0"/>
        <w:spacing w:line="360" w:lineRule="auto"/>
        <w:ind w:firstLine="480" w:firstLineChars="200"/>
        <w:rPr>
          <w:sz w:val="24"/>
        </w:rPr>
      </w:pPr>
      <w:r>
        <w:rPr>
          <w:rFonts w:hint="eastAsia"/>
          <w:sz w:val="24"/>
        </w:rPr>
        <w:t>考试研究专项申请教育部重点、一般和培育项目，需具有副高级以上（含）专业技术职称或者具有博士学位。</w:t>
      </w:r>
    </w:p>
    <w:p>
      <w:pPr>
        <w:adjustRightInd w:val="0"/>
        <w:snapToGrid w:val="0"/>
        <w:spacing w:line="360" w:lineRule="auto"/>
        <w:ind w:firstLine="480" w:firstLineChars="200"/>
        <w:rPr>
          <w:sz w:val="24"/>
        </w:rPr>
      </w:pPr>
      <w:r>
        <w:rPr>
          <w:rFonts w:hint="eastAsia"/>
          <w:sz w:val="24"/>
        </w:rPr>
        <w:t>3.在研的国家社科基金、国家自然科学基金、全国教育科学规划、教育部人文社会科学研究项目及其他国家级科研项目（以上统称国家级科研项目）负责人不得申请专项。同年度申报2024年度国家级科研项目的负责人不得申请专项、项目组成员不得以相同或相近选题申请专项。</w:t>
      </w:r>
    </w:p>
    <w:p>
      <w:pPr>
        <w:adjustRightInd w:val="0"/>
        <w:snapToGrid w:val="0"/>
        <w:spacing w:line="360" w:lineRule="auto"/>
        <w:ind w:firstLine="480" w:firstLineChars="200"/>
        <w:rPr>
          <w:sz w:val="24"/>
        </w:rPr>
      </w:pPr>
      <w:r>
        <w:rPr>
          <w:rFonts w:hint="eastAsia"/>
          <w:sz w:val="24"/>
        </w:rPr>
        <w:t>4.凡以博士学位论文或博士后出站报告为基础申报本次研究专项，须在《全国教育科学规划项目申请书》（以下简称《申请书》）中，注明所申请项目与学位论文（出站报告）的联系和区别，申请鉴定结项时须提交学位论文（出站报告）原件。不得以已出版的内容基本相同的研究成果申请本次研究专项。</w:t>
      </w:r>
    </w:p>
    <w:p>
      <w:pPr>
        <w:adjustRightInd w:val="0"/>
        <w:snapToGrid w:val="0"/>
        <w:spacing w:line="360" w:lineRule="auto"/>
        <w:ind w:firstLine="482" w:firstLineChars="200"/>
        <w:rPr>
          <w:b/>
          <w:bCs/>
          <w:sz w:val="24"/>
        </w:rPr>
      </w:pPr>
      <w:r>
        <w:rPr>
          <w:rFonts w:hint="eastAsia"/>
          <w:b/>
          <w:bCs/>
          <w:sz w:val="24"/>
        </w:rPr>
        <w:t>五、申报要求</w:t>
      </w:r>
    </w:p>
    <w:p>
      <w:pPr>
        <w:adjustRightInd w:val="0"/>
        <w:snapToGrid w:val="0"/>
        <w:spacing w:line="360" w:lineRule="auto"/>
        <w:ind w:firstLine="480" w:firstLineChars="200"/>
        <w:rPr>
          <w:sz w:val="24"/>
        </w:rPr>
      </w:pPr>
      <w:r>
        <w:rPr>
          <w:rFonts w:hint="eastAsia"/>
          <w:sz w:val="24"/>
        </w:rPr>
        <w:t>1.就业研究专项研究年限为1-2年。研究成果要求提交决策咨询报告和研究报告。其中研究年限为2年的应用研究，要求决策咨询报告被《全国教育科学规划课题成果要报》刊发、或被省部级及以上领导肯定性批示、或被省部级及以上党政机关编发、采纳；研究期限为2年的基础理论研究，需至少发表1篇核心期刊（或SCI、SSCI、A&amp;HCI）论文。</w:t>
      </w:r>
    </w:p>
    <w:p>
      <w:pPr>
        <w:adjustRightInd w:val="0"/>
        <w:snapToGrid w:val="0"/>
        <w:spacing w:line="360" w:lineRule="auto"/>
        <w:ind w:firstLine="480" w:firstLineChars="200"/>
        <w:rPr>
          <w:sz w:val="24"/>
        </w:rPr>
      </w:pPr>
      <w:r>
        <w:rPr>
          <w:rFonts w:hint="eastAsia"/>
          <w:sz w:val="24"/>
        </w:rPr>
        <w:t>考试研究专项的研究年限为2―3年。研究成果要求提交1―2篇决策咨询报告，以及与资助金额相匹配的一定数量和级别的学术期刊论文或学术著作。决策咨询报告要求同上。</w:t>
      </w:r>
    </w:p>
    <w:p>
      <w:pPr>
        <w:adjustRightInd w:val="0"/>
        <w:snapToGrid w:val="0"/>
        <w:spacing w:line="360" w:lineRule="auto"/>
        <w:ind w:firstLine="480" w:firstLineChars="200"/>
        <w:rPr>
          <w:sz w:val="24"/>
        </w:rPr>
      </w:pPr>
      <w:r>
        <w:rPr>
          <w:rFonts w:hint="eastAsia"/>
          <w:sz w:val="24"/>
        </w:rPr>
        <w:t>2.申请人应按照《全国教育科学规划管理办法》和《全国教育科学规划课题资金管理办法》（详见教科办网站）的要求，根据实际需要编制科学合理的经费预算。</w:t>
      </w:r>
    </w:p>
    <w:p>
      <w:pPr>
        <w:adjustRightInd w:val="0"/>
        <w:snapToGrid w:val="0"/>
        <w:spacing w:line="360" w:lineRule="auto"/>
        <w:ind w:firstLine="480" w:firstLineChars="200"/>
        <w:rPr>
          <w:sz w:val="24"/>
        </w:rPr>
      </w:pPr>
      <w:r>
        <w:rPr>
          <w:rFonts w:hint="eastAsia"/>
          <w:sz w:val="24"/>
        </w:rPr>
        <w:t>3.申报项目须按照《申请书》和《项目论证活页》要求，如实填写材料，保证没有知识产权争议，不得有违背科研诚信要求的行为。凡存在弄虚作假、抄袭剽窃等行为的，一经发现查实，取消五年申报资格。如获立项即予撤项并通报批评，列入不良科研信用记录，并责成所在单位按有关规定处理。</w:t>
      </w:r>
    </w:p>
    <w:p>
      <w:pPr>
        <w:adjustRightInd w:val="0"/>
        <w:snapToGrid w:val="0"/>
        <w:spacing w:line="360" w:lineRule="auto"/>
        <w:ind w:firstLine="480" w:firstLineChars="200"/>
        <w:rPr>
          <w:sz w:val="24"/>
        </w:rPr>
      </w:pPr>
      <w:r>
        <w:rPr>
          <w:rFonts w:hint="eastAsia"/>
          <w:sz w:val="24"/>
        </w:rPr>
        <w:t>4.项目负责人在项目执行期间要遵守相关承诺，履行约定义务，按期完成研究任务，申报时承诺的预期研究成果为项目结项时必须达到的要件，不得擅自变更。获准立项的《申请书》视为具有约束力的资助合同文本。最终成果实行通讯鉴定，鉴定等级予以公布。</w:t>
      </w:r>
    </w:p>
    <w:p>
      <w:pPr>
        <w:adjustRightInd w:val="0"/>
        <w:snapToGrid w:val="0"/>
        <w:spacing w:line="360" w:lineRule="auto"/>
        <w:ind w:firstLine="482" w:firstLineChars="200"/>
        <w:rPr>
          <w:b/>
          <w:bCs/>
          <w:sz w:val="24"/>
        </w:rPr>
      </w:pPr>
      <w:r>
        <w:rPr>
          <w:rFonts w:hint="eastAsia"/>
          <w:b/>
          <w:bCs/>
          <w:sz w:val="24"/>
        </w:rPr>
        <w:t>六、工作安排</w:t>
      </w:r>
    </w:p>
    <w:p>
      <w:pPr>
        <w:adjustRightInd w:val="0"/>
        <w:snapToGrid w:val="0"/>
        <w:spacing w:line="360" w:lineRule="auto"/>
        <w:ind w:firstLine="480" w:firstLineChars="200"/>
        <w:rPr>
          <w:sz w:val="24"/>
        </w:rPr>
      </w:pPr>
      <w:r>
        <w:rPr>
          <w:rFonts w:hint="eastAsia"/>
          <w:sz w:val="24"/>
        </w:rPr>
        <w:t>本次专项实行网络申报。“全国教育科学规划管理平台”（https://202.205.185.227/，以下简称平台）中的“项目申报系统”为本次申报的唯一网络平台。网络申报办法及流程管理以该系统为准。项目申报材料可从平台或网站下载。全国教育科学规划领导小组办公室（以下简称全规办）不直接受理个人申报。</w:t>
      </w:r>
    </w:p>
    <w:p>
      <w:pPr>
        <w:adjustRightInd w:val="0"/>
        <w:snapToGrid w:val="0"/>
        <w:spacing w:line="360" w:lineRule="auto"/>
        <w:ind w:firstLine="480" w:firstLineChars="200"/>
        <w:rPr>
          <w:sz w:val="24"/>
        </w:rPr>
      </w:pPr>
      <w:r>
        <w:rPr>
          <w:rFonts w:hint="eastAsia"/>
          <w:sz w:val="24"/>
        </w:rPr>
        <w:t>申报系统于5月21日至6月20日开放。特别注意：因材料需要加盖学校公章扫描上传，我校纸质材料</w:t>
      </w:r>
      <w:bookmarkStart w:id="0" w:name="_GoBack"/>
      <w:bookmarkEnd w:id="0"/>
      <w:r>
        <w:rPr>
          <w:rFonts w:hint="eastAsia"/>
          <w:sz w:val="24"/>
        </w:rPr>
        <w:t>上交截止日期为</w:t>
      </w:r>
      <w:r>
        <w:rPr>
          <w:sz w:val="24"/>
        </w:rPr>
        <w:t>6</w:t>
      </w:r>
      <w:r>
        <w:rPr>
          <w:rFonts w:hint="eastAsia"/>
          <w:sz w:val="24"/>
        </w:rPr>
        <w:t>月1</w:t>
      </w:r>
      <w:r>
        <w:rPr>
          <w:sz w:val="24"/>
        </w:rPr>
        <w:t>7</w:t>
      </w:r>
      <w:r>
        <w:rPr>
          <w:rFonts w:hint="eastAsia"/>
          <w:sz w:val="24"/>
        </w:rPr>
        <w:t>日1</w:t>
      </w:r>
      <w:r>
        <w:rPr>
          <w:sz w:val="24"/>
        </w:rPr>
        <w:t>2</w:t>
      </w:r>
      <w:r>
        <w:rPr>
          <w:rFonts w:hint="eastAsia"/>
          <w:sz w:val="24"/>
        </w:rPr>
        <w:t>:0</w:t>
      </w:r>
      <w:r>
        <w:rPr>
          <w:sz w:val="24"/>
        </w:rPr>
        <w:t>0</w:t>
      </w:r>
      <w:r>
        <w:rPr>
          <w:rFonts w:hint="eastAsia"/>
          <w:sz w:val="24"/>
        </w:rPr>
        <w:t>。</w:t>
      </w:r>
    </w:p>
    <w:p>
      <w:pPr>
        <w:adjustRightInd w:val="0"/>
        <w:snapToGrid w:val="0"/>
        <w:spacing w:line="360" w:lineRule="auto"/>
        <w:ind w:firstLine="480" w:firstLineChars="200"/>
        <w:rPr>
          <w:sz w:val="24"/>
        </w:rPr>
      </w:pPr>
      <w:r>
        <w:rPr>
          <w:rFonts w:hint="eastAsia"/>
          <w:sz w:val="24"/>
        </w:rPr>
        <w:t>6月1</w:t>
      </w:r>
      <w:r>
        <w:rPr>
          <w:sz w:val="24"/>
        </w:rPr>
        <w:t>7</w:t>
      </w:r>
      <w:r>
        <w:rPr>
          <w:rFonts w:hint="eastAsia"/>
          <w:sz w:val="24"/>
        </w:rPr>
        <w:t>日1</w:t>
      </w:r>
      <w:r>
        <w:rPr>
          <w:sz w:val="24"/>
        </w:rPr>
        <w:t>2</w:t>
      </w:r>
      <w:r>
        <w:rPr>
          <w:rFonts w:hint="eastAsia"/>
          <w:sz w:val="24"/>
        </w:rPr>
        <w:t>；0</w:t>
      </w:r>
      <w:r>
        <w:rPr>
          <w:sz w:val="24"/>
        </w:rPr>
        <w:t>0</w:t>
      </w:r>
      <w:r>
        <w:rPr>
          <w:rFonts w:hint="eastAsia"/>
          <w:sz w:val="24"/>
        </w:rPr>
        <w:t>前，申请人完成平台填报并导出《申请书》，将导出版的《申请书》签字后1式2份上交学院（职能部门教师交科研处），由学院汇总后交科研处加盖单位公章，科研处盖章后由学院反馈申请人。申请人将盖章后《申报书》全文扫描在一个文档中，跟PDF版本的《活页》一起于6月1</w:t>
      </w:r>
      <w:r>
        <w:rPr>
          <w:sz w:val="24"/>
        </w:rPr>
        <w:t>9</w:t>
      </w:r>
      <w:r>
        <w:rPr>
          <w:rFonts w:hint="eastAsia"/>
          <w:sz w:val="24"/>
        </w:rPr>
        <w:t>日1</w:t>
      </w:r>
      <w:r>
        <w:rPr>
          <w:sz w:val="24"/>
        </w:rPr>
        <w:t>2</w:t>
      </w:r>
      <w:r>
        <w:rPr>
          <w:rFonts w:hint="eastAsia"/>
          <w:sz w:val="24"/>
        </w:rPr>
        <w:t>:0</w:t>
      </w:r>
      <w:r>
        <w:rPr>
          <w:sz w:val="24"/>
        </w:rPr>
        <w:t>0</w:t>
      </w:r>
      <w:r>
        <w:rPr>
          <w:rFonts w:hint="eastAsia"/>
          <w:sz w:val="24"/>
        </w:rPr>
        <w:t>前提交到平台。要确保线上线下《申请书》和《活页》内容完全一致。逾期系统自动关闭。（提醒，为方便后续扫描，申请人上交的纸质材料，尽量不要装订。）</w:t>
      </w:r>
    </w:p>
    <w:p>
      <w:pPr>
        <w:adjustRightInd w:val="0"/>
        <w:snapToGrid w:val="0"/>
        <w:spacing w:line="360" w:lineRule="auto"/>
        <w:ind w:firstLine="480" w:firstLineChars="200"/>
        <w:rPr>
          <w:sz w:val="24"/>
        </w:rPr>
      </w:pPr>
      <w:r>
        <w:rPr>
          <w:rFonts w:hint="eastAsia"/>
          <w:sz w:val="24"/>
        </w:rPr>
        <w:t>各学院科研秘书将申请人签字后的申请书纸质版1式</w:t>
      </w:r>
      <w:r>
        <w:rPr>
          <w:sz w:val="24"/>
        </w:rPr>
        <w:t>2</w:t>
      </w:r>
      <w:r>
        <w:rPr>
          <w:rFonts w:hint="eastAsia"/>
          <w:sz w:val="24"/>
        </w:rPr>
        <w:t>份、学院汇总表（附件4）1式1份，于6月17日12点前交至上川路校区行政楼501，</w:t>
      </w:r>
      <w:r>
        <w:rPr>
          <w:sz w:val="24"/>
        </w:rPr>
        <w:t xml:space="preserve"> </w:t>
      </w:r>
      <w:r>
        <w:rPr>
          <w:color w:val="auto"/>
          <w:u w:val="none"/>
        </w:rPr>
        <w:fldChar w:fldCharType="begin"/>
      </w:r>
      <w:r>
        <w:rPr>
          <w:color w:val="auto"/>
          <w:u w:val="none"/>
        </w:rPr>
        <w:instrText xml:space="preserve"> HYPERLINK "mailto:电子版发送至邮箱20059444@lixin.edu.cn" </w:instrText>
      </w:r>
      <w:r>
        <w:rPr>
          <w:color w:val="auto"/>
          <w:u w:val="none"/>
        </w:rPr>
        <w:fldChar w:fldCharType="separate"/>
      </w:r>
      <w:r>
        <w:rPr>
          <w:rStyle w:val="6"/>
          <w:rFonts w:hint="eastAsia"/>
          <w:color w:val="auto"/>
          <w:sz w:val="24"/>
          <w:u w:val="none"/>
        </w:rPr>
        <w:t>电子版发送至邮箱20059444@lixin.edu.cn</w:t>
      </w:r>
      <w:r>
        <w:rPr>
          <w:rStyle w:val="6"/>
          <w:rFonts w:hint="eastAsia"/>
          <w:color w:val="auto"/>
          <w:sz w:val="24"/>
          <w:u w:val="none"/>
        </w:rPr>
        <w:fldChar w:fldCharType="end"/>
      </w:r>
      <w:r>
        <w:rPr>
          <w:rFonts w:hint="eastAsia"/>
          <w:sz w:val="24"/>
        </w:rPr>
        <w:t>，逾期不再受理。</w:t>
      </w:r>
    </w:p>
    <w:p>
      <w:pPr>
        <w:adjustRightInd w:val="0"/>
        <w:snapToGrid w:val="0"/>
        <w:spacing w:line="360" w:lineRule="auto"/>
        <w:ind w:firstLine="480" w:firstLineChars="200"/>
        <w:rPr>
          <w:sz w:val="24"/>
        </w:rPr>
      </w:pPr>
      <w:r>
        <w:rPr>
          <w:rFonts w:hint="eastAsia"/>
          <w:sz w:val="24"/>
        </w:rPr>
        <w:t>联系人：臧冠荣 18021097253</w:t>
      </w:r>
    </w:p>
    <w:p>
      <w:pPr>
        <w:adjustRightInd w:val="0"/>
        <w:snapToGrid w:val="0"/>
        <w:spacing w:line="360" w:lineRule="auto"/>
        <w:ind w:firstLine="480" w:firstLineChars="200"/>
        <w:rPr>
          <w:sz w:val="24"/>
        </w:rPr>
      </w:pPr>
      <w:r>
        <w:rPr>
          <w:rFonts w:hint="eastAsia"/>
          <w:sz w:val="24"/>
        </w:rPr>
        <w:t>全规办咨询电话：010―62003471、62003308；平台系统及技术问题请咨询400-800-1636，电子信箱：support@e-plugger.com。</w:t>
      </w:r>
    </w:p>
    <w:p>
      <w:pPr>
        <w:adjustRightInd w:val="0"/>
        <w:snapToGrid w:val="0"/>
        <w:spacing w:line="360" w:lineRule="auto"/>
        <w:jc w:val="right"/>
        <w:rPr>
          <w:sz w:val="24"/>
        </w:rPr>
      </w:pPr>
      <w:r>
        <w:rPr>
          <w:rFonts w:hint="eastAsia"/>
          <w:sz w:val="24"/>
        </w:rPr>
        <w:t>科研处</w:t>
      </w:r>
    </w:p>
    <w:p>
      <w:pPr>
        <w:adjustRightInd w:val="0"/>
        <w:snapToGrid w:val="0"/>
        <w:spacing w:line="360" w:lineRule="auto"/>
        <w:jc w:val="right"/>
        <w:rPr>
          <w:sz w:val="24"/>
        </w:rPr>
      </w:pPr>
      <w:r>
        <w:rPr>
          <w:rFonts w:hint="eastAsia"/>
          <w:sz w:val="24"/>
        </w:rPr>
        <w:t>2024年5月24日</w:t>
      </w:r>
    </w:p>
    <w:p>
      <w:pPr>
        <w:adjustRightInd w:val="0"/>
        <w:snapToGrid w:val="0"/>
        <w:spacing w:line="360" w:lineRule="auto"/>
        <w:rPr>
          <w:sz w:val="24"/>
        </w:rPr>
      </w:pPr>
      <w:r>
        <w:rPr>
          <w:rFonts w:hint="eastAsia"/>
          <w:sz w:val="24"/>
        </w:rPr>
        <w:t xml:space="preserve">附件1：2024年度全国教育科学规划专项选题指南  </w:t>
      </w:r>
    </w:p>
    <w:p>
      <w:pPr>
        <w:adjustRightInd w:val="0"/>
        <w:snapToGrid w:val="0"/>
        <w:spacing w:line="360" w:lineRule="auto"/>
        <w:rPr>
          <w:sz w:val="24"/>
        </w:rPr>
      </w:pPr>
      <w:r>
        <w:rPr>
          <w:rFonts w:hint="eastAsia"/>
          <w:sz w:val="24"/>
        </w:rPr>
        <w:t xml:space="preserve">附件2：2024年全国教育科学规划项目（国家重点、国家一般、国家青年、教育部重点、教育部青年、专项）-申请书  </w:t>
      </w:r>
    </w:p>
    <w:p>
      <w:pPr>
        <w:adjustRightInd w:val="0"/>
        <w:snapToGrid w:val="0"/>
        <w:spacing w:line="360" w:lineRule="auto"/>
        <w:rPr>
          <w:sz w:val="24"/>
        </w:rPr>
      </w:pPr>
      <w:r>
        <w:rPr>
          <w:rFonts w:hint="eastAsia"/>
          <w:sz w:val="24"/>
        </w:rPr>
        <w:t xml:space="preserve">附件3：2024年全国教育科学规划项目（国家重点、国家一般、国家青年、教育部重点、教育部青年、专项）-活页  </w:t>
      </w:r>
    </w:p>
    <w:p>
      <w:pPr>
        <w:adjustRightInd w:val="0"/>
        <w:snapToGrid w:val="0"/>
        <w:spacing w:line="360" w:lineRule="auto"/>
        <w:rPr>
          <w:sz w:val="24"/>
        </w:rPr>
      </w:pPr>
      <w:r>
        <w:rPr>
          <w:rFonts w:hint="eastAsia"/>
          <w:sz w:val="24"/>
        </w:rPr>
        <w:t>附件4：2024年度全国教育科学规划专项申报汇总表</w:t>
      </w:r>
    </w:p>
    <w:sectPr>
      <w:pgSz w:w="11906" w:h="16838"/>
      <w:pgMar w:top="1134"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UxMjg5MWIwMTcxMWRhYmEyNTJkZWY1ZWI3NWU0M2MifQ=="/>
  </w:docVars>
  <w:rsids>
    <w:rsidRoot w:val="46F8254A"/>
    <w:rsid w:val="00001320"/>
    <w:rsid w:val="0045759C"/>
    <w:rsid w:val="00480CCF"/>
    <w:rsid w:val="007D40BF"/>
    <w:rsid w:val="008503EA"/>
    <w:rsid w:val="00BE0A12"/>
    <w:rsid w:val="00CE3E41"/>
    <w:rsid w:val="00D8383F"/>
    <w:rsid w:val="00E0355E"/>
    <w:rsid w:val="00FB79FB"/>
    <w:rsid w:val="13AE0697"/>
    <w:rsid w:val="1CDF436F"/>
    <w:rsid w:val="247475B2"/>
    <w:rsid w:val="3B936B4F"/>
    <w:rsid w:val="46F8254A"/>
    <w:rsid w:val="470317B1"/>
    <w:rsid w:val="470736C2"/>
    <w:rsid w:val="4BCF5981"/>
    <w:rsid w:val="57C16F78"/>
    <w:rsid w:val="5D357219"/>
    <w:rsid w:val="60FC62C1"/>
    <w:rsid w:val="761964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autoRedefine/>
    <w:qFormat/>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uiPriority w:val="0"/>
    <w:rPr>
      <w:color w:val="0026E5" w:themeColor="hyperlink"/>
      <w:u w:val="single"/>
      <w14:textFill>
        <w14:solidFill>
          <w14:schemeClr w14:val="hlink"/>
        </w14:solidFill>
      </w14:textFill>
    </w:rPr>
  </w:style>
  <w:style w:type="character" w:customStyle="1" w:styleId="7">
    <w:name w:val="页眉 字符"/>
    <w:basedOn w:val="5"/>
    <w:link w:val="3"/>
    <w:autoRedefine/>
    <w:qFormat/>
    <w:uiPriority w:val="0"/>
    <w:rPr>
      <w:kern w:val="2"/>
      <w:sz w:val="18"/>
      <w:szCs w:val="18"/>
    </w:rPr>
  </w:style>
  <w:style w:type="character" w:customStyle="1" w:styleId="8">
    <w:name w:val="页脚 字符"/>
    <w:basedOn w:val="5"/>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383</Words>
  <Characters>2186</Characters>
  <Lines>18</Lines>
  <Paragraphs>5</Paragraphs>
  <TotalTime>0</TotalTime>
  <ScaleCrop>false</ScaleCrop>
  <LinksUpToDate>false</LinksUpToDate>
  <CharactersWithSpaces>2564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2024-05-24T03:45:00Z</dcterms:created>
  <dc:creator>AMY</dc:creator>
  <cp:lastModifiedBy>AMY</cp:lastModifiedBy>
  <dcterms:modified xsi:type="dcterms:W3CDTF">2024-05-24T04:39:24Z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C533674835A84193BFDB78EAB81D4AF0_11</vt:lpwstr>
  </property>
</Properties>
</file>